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10310.xml.htm"/>
      <w:bookmarkStart w:id="1" w:name="kswkform4_17883103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Benton Ryan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913,616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3.36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903,523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of the Issuer's common stock issued to the Reporting Person upon the receipt of a fully vested award of restricted stock units ("RSUs") on August 28, 2026. The RSUs represented the Reporting Person's award bonus earned for the quarter ended July 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789,817 shares issuable upon vesting and settlement of RSUs granted to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withholding of shares of the Issuer's common stock to satisfy tax withholding obligations in connection with the vesting of restricted stock units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Ryan Benton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4606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3584</Characters>
  <CharactersWithSpaces>4168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