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6" w:lineRule="exact"/>
        <w:rPr>
          <w:sz w:val="24"/>
          <w:szCs w:val="24"/>
          <w:color w:val="auto"/>
        </w:rPr>
      </w:pPr>
    </w:p>
    <w:tbl>
      <w:tblPr>
        <w:tblLayout w:type="fixed"/>
        <w:tblInd w:w="20" w:type="dxa"/>
        <w:tblCellMar>
          <w:top w:w="0" w:type="dxa"/>
          <w:left w:w="0" w:type="dxa"/>
          <w:bottom w:w="0" w:type="dxa"/>
          <w:right w:w="0" w:type="dxa"/>
        </w:tblCellMar>
      </w:tblPr>
      <w:tr>
        <w:trPr>
          <w:trHeight w:val="334"/>
        </w:trPr>
        <w:tc>
          <w:tcPr>
            <w:tcW w:w="3340" w:type="dxa"/>
            <w:vAlign w:val="bottom"/>
          </w:tcPr>
          <w:p>
            <w:pPr>
              <w:spacing w:after="0"/>
              <w:rPr>
                <w:sz w:val="24"/>
                <w:szCs w:val="24"/>
                <w:color w:val="auto"/>
              </w:rPr>
            </w:pPr>
          </w:p>
        </w:tc>
        <w:tc>
          <w:tcPr>
            <w:tcW w:w="4160" w:type="dxa"/>
            <w:vAlign w:val="bottom"/>
          </w:tcPr>
          <w:p>
            <w:pPr>
              <w:jc w:val="center"/>
              <w:ind w:left="264"/>
              <w:spacing w:after="0"/>
              <w:rPr>
                <w:sz w:val="20"/>
                <w:szCs w:val="20"/>
                <w:color w:val="auto"/>
              </w:rPr>
            </w:pPr>
            <w:r>
              <w:rPr>
                <w:rFonts w:ascii="Times New Roman" w:cs="Times New Roman" w:eastAsia="Times New Roman" w:hAnsi="Times New Roman"/>
                <w:sz w:val="25"/>
                <w:szCs w:val="25"/>
                <w:b w:val="1"/>
                <w:bCs w:val="1"/>
                <w:color w:val="auto"/>
              </w:rPr>
              <w:t>SCHEDULE 14A INFORMATION</w:t>
            </w:r>
          </w:p>
        </w:tc>
      </w:tr>
      <w:tr>
        <w:trPr>
          <w:trHeight w:val="523"/>
        </w:trPr>
        <w:tc>
          <w:tcPr>
            <w:tcW w:w="3340" w:type="dxa"/>
            <w:vAlign w:val="bottom"/>
          </w:tcPr>
          <w:p>
            <w:pPr>
              <w:spacing w:after="0"/>
              <w:rPr>
                <w:sz w:val="24"/>
                <w:szCs w:val="24"/>
                <w:color w:val="auto"/>
              </w:rPr>
            </w:pPr>
          </w:p>
        </w:tc>
        <w:tc>
          <w:tcPr>
            <w:tcW w:w="4160" w:type="dxa"/>
            <w:vAlign w:val="bottom"/>
          </w:tcPr>
          <w:p>
            <w:pPr>
              <w:jc w:val="center"/>
              <w:ind w:left="264"/>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216"/>
        </w:trPr>
        <w:tc>
          <w:tcPr>
            <w:tcW w:w="3340" w:type="dxa"/>
            <w:vAlign w:val="bottom"/>
          </w:tcPr>
          <w:p>
            <w:pPr>
              <w:spacing w:after="0"/>
              <w:rPr>
                <w:sz w:val="18"/>
                <w:szCs w:val="18"/>
                <w:color w:val="auto"/>
              </w:rPr>
            </w:pPr>
          </w:p>
        </w:tc>
        <w:tc>
          <w:tcPr>
            <w:tcW w:w="4160" w:type="dxa"/>
            <w:vAlign w:val="bottom"/>
          </w:tcPr>
          <w:p>
            <w:pPr>
              <w:jc w:val="center"/>
              <w:ind w:left="284"/>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238"/>
        </w:trPr>
        <w:tc>
          <w:tcPr>
            <w:tcW w:w="3340" w:type="dxa"/>
            <w:vAlign w:val="bottom"/>
          </w:tcPr>
          <w:p>
            <w:pPr>
              <w:spacing w:after="0"/>
              <w:rPr>
                <w:sz w:val="20"/>
                <w:szCs w:val="20"/>
                <w:color w:val="auto"/>
              </w:rPr>
            </w:pPr>
          </w:p>
        </w:tc>
        <w:tc>
          <w:tcPr>
            <w:tcW w:w="4160" w:type="dxa"/>
            <w:vAlign w:val="bottom"/>
          </w:tcPr>
          <w:p>
            <w:pPr>
              <w:jc w:val="center"/>
              <w:ind w:left="264"/>
              <w:spacing w:after="0"/>
              <w:rPr>
                <w:sz w:val="20"/>
                <w:szCs w:val="20"/>
                <w:color w:val="auto"/>
              </w:rPr>
            </w:pPr>
            <w:r>
              <w:rPr>
                <w:rFonts w:ascii="Times New Roman" w:cs="Times New Roman" w:eastAsia="Times New Roman" w:hAnsi="Times New Roman"/>
                <w:sz w:val="18"/>
                <w:szCs w:val="18"/>
                <w:b w:val="1"/>
                <w:bCs w:val="1"/>
                <w:color w:val="auto"/>
                <w:w w:val="94"/>
              </w:rPr>
              <w:t>(Amendment No.   )</w:t>
            </w:r>
          </w:p>
        </w:tc>
      </w:tr>
      <w:tr>
        <w:trPr>
          <w:trHeight w:val="36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Registrant</w:t>
            </w:r>
          </w:p>
        </w:tc>
        <w:tc>
          <w:tcPr>
            <w:tcW w:w="41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r>
      <w:tr>
        <w:trPr>
          <w:trHeight w:val="3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tc>
        <w:tc>
          <w:tcPr>
            <w:tcW w:w="41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26" w:lineRule="exact"/>
        <w:rPr>
          <w:sz w:val="24"/>
          <w:szCs w:val="24"/>
          <w:color w:val="auto"/>
        </w:rPr>
      </w:pPr>
    </w:p>
    <w:p>
      <w:pPr>
        <w:ind w:left="620" w:hanging="590"/>
        <w:spacing w:after="0"/>
        <w:tabs>
          <w:tab w:leader="none" w:pos="62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Preliminary Proxy Statement</w:t>
      </w:r>
    </w:p>
    <w:p>
      <w:pPr>
        <w:spacing w:after="0" w:line="150" w:lineRule="exact"/>
        <w:rPr>
          <w:rFonts w:ascii="MS PGothic" w:cs="MS PGothic" w:eastAsia="MS PGothic" w:hAnsi="MS PGothic"/>
          <w:sz w:val="36"/>
          <w:szCs w:val="36"/>
          <w:color w:val="auto"/>
          <w:vertAlign w:val="superscript"/>
        </w:rPr>
      </w:pPr>
    </w:p>
    <w:p>
      <w:pPr>
        <w:ind w:left="620" w:hanging="590"/>
        <w:spacing w:after="0" w:line="183" w:lineRule="auto"/>
        <w:tabs>
          <w:tab w:leader="none" w:pos="62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Confidential, for Use of the Commission Only (as permitted by Rule 14a-6(e)(2))</w:t>
      </w:r>
    </w:p>
    <w:p>
      <w:pPr>
        <w:spacing w:after="0" w:line="150" w:lineRule="exact"/>
        <w:rPr>
          <w:rFonts w:ascii="MS PGothic" w:cs="MS PGothic" w:eastAsia="MS PGothic" w:hAnsi="MS PGothic"/>
          <w:sz w:val="28"/>
          <w:szCs w:val="28"/>
          <w:color w:val="auto"/>
          <w:vertAlign w:val="superscript"/>
        </w:rPr>
      </w:pPr>
    </w:p>
    <w:p>
      <w:pPr>
        <w:ind w:left="620" w:hanging="590"/>
        <w:spacing w:after="0" w:line="183" w:lineRule="auto"/>
        <w:tabs>
          <w:tab w:leader="none" w:pos="62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Definitive Proxy Statement</w:t>
      </w:r>
    </w:p>
    <w:p>
      <w:pPr>
        <w:spacing w:after="0" w:line="5" w:lineRule="exact"/>
        <w:rPr>
          <w:sz w:val="24"/>
          <w:szCs w:val="24"/>
          <w:color w:val="auto"/>
        </w:rPr>
      </w:pPr>
    </w:p>
    <w:p>
      <w:pPr>
        <w:ind w:left="620" w:hanging="590"/>
        <w:spacing w:after="0"/>
        <w:tabs>
          <w:tab w:leader="none" w:pos="620" w:val="left"/>
        </w:tabs>
        <w:numPr>
          <w:ilvl w:val="0"/>
          <w:numId w:val="2"/>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Definitive Additional Materials</w:t>
      </w:r>
    </w:p>
    <w:p>
      <w:pPr>
        <w:spacing w:after="0" w:line="4" w:lineRule="exact"/>
        <w:rPr>
          <w:sz w:val="24"/>
          <w:szCs w:val="24"/>
          <w:color w:val="auto"/>
        </w:rPr>
      </w:pPr>
    </w:p>
    <w:p>
      <w:pPr>
        <w:ind w:left="620" w:hanging="590"/>
        <w:spacing w:after="0"/>
        <w:tabs>
          <w:tab w:leader="none" w:pos="620" w:val="left"/>
        </w:tabs>
        <w:numPr>
          <w:ilvl w:val="0"/>
          <w:numId w:val="3"/>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Soliciting Material Pursuant to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128270</wp:posOffset>
            </wp:positionV>
            <wp:extent cx="82296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1714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9"/>
          <w:szCs w:val="29"/>
          <w:b w:val="1"/>
          <w:bCs w:val="1"/>
          <w:color w:val="auto"/>
        </w:rPr>
        <w:t>ENOVIX CORPORATION</w:t>
      </w:r>
    </w:p>
    <w:p>
      <w:pPr>
        <w:spacing w:after="0" w:line="6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620" w:hanging="594"/>
        <w:spacing w:after="0"/>
        <w:tabs>
          <w:tab w:leader="none" w:pos="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rFonts w:ascii="MS PGothic" w:cs="MS PGothic" w:eastAsia="MS PGothic" w:hAnsi="MS PGothic"/>
          <w:sz w:val="18"/>
          <w:szCs w:val="18"/>
          <w:color w:val="auto"/>
        </w:rPr>
      </w:pPr>
    </w:p>
    <w:p>
      <w:pPr>
        <w:ind w:left="620" w:hanging="590"/>
        <w:spacing w:after="0" w:line="224" w:lineRule="auto"/>
        <w:tabs>
          <w:tab w:leader="none" w:pos="620" w:val="left"/>
        </w:tabs>
        <w:numPr>
          <w:ilvl w:val="1"/>
          <w:numId w:val="4"/>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Fee paid previously with preliminary materials</w:t>
      </w:r>
    </w:p>
    <w:p>
      <w:pPr>
        <w:spacing w:after="0" w:line="150" w:lineRule="exact"/>
        <w:rPr>
          <w:rFonts w:ascii="MS PGothic" w:cs="MS PGothic" w:eastAsia="MS PGothic" w:hAnsi="MS PGothic"/>
          <w:sz w:val="36"/>
          <w:szCs w:val="36"/>
          <w:color w:val="auto"/>
          <w:vertAlign w:val="superscript"/>
        </w:rPr>
      </w:pPr>
    </w:p>
    <w:p>
      <w:pPr>
        <w:ind w:left="620" w:hanging="590"/>
        <w:spacing w:after="0" w:line="183" w:lineRule="auto"/>
        <w:tabs>
          <w:tab w:leader="none" w:pos="620" w:val="left"/>
        </w:tabs>
        <w:numPr>
          <w:ilvl w:val="1"/>
          <w:numId w:val="4"/>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1449070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1423670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On June 9, 2026, Enovix Corporation (“Enovix”) posted the following message on its LinkedIn, Facebook, X and Instagram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349240" cy="2794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Enovix has filed a definitive proxy statement with the SEC in connection with its 2026 Annual Meeting of Stockholders. Stockholders are encouraged to read the proxy statement and other relevant materials filed with the SEC because they contain important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Investors may obtain these materials free of charge at www.sec.gov and through Enovix’s investor relations website at: ir.enovix.com.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Enovix cautions readers that forward-looking statements are predictions based on Enovix’s current expectations about future events. All statements other than statements of historical or current facts, are forward-looking statements. These forward-looking statements, and the assumptions underlying such statements, involve a number of risks, uncertainties, some of which are beyond our control.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Accordingly, you should not rely on any of the forward-looking statements. For additional information on these risks and uncertainties and other potential factors that could cause actual results to differ from the results predicted, please refer to our filings with the SEC, including in the “Risk Factors” and “Management’s Discussion and Analysis of Financial Condition and Results of Operations” sections of our annual report on Form 10-K and quarterly reports on Form 10-Q and other documents that we have filed, or will file, with the SEC. Forward-looking statements speak only as of the date made, and we undertake no obligation to revise or update them, whether as a result of new information, future events or otherwise.</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2026-06-09T16:08:17Z</dcterms:created>
  <dcterms:modified xsi:type="dcterms:W3CDTF">2026-06-09T16:08:17Z</dcterms:modified>
</cp:coreProperties>
</file>