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333-273858</w:t>
      </w:r>
    </w:p>
    <w:p>
      <w:pPr>
        <w:spacing w:after="0" w:line="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(To Prospectus dated August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161290</wp:posOffset>
            </wp:positionV>
            <wp:extent cx="255460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460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29,233,276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255270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7"/>
          <w:szCs w:val="17"/>
          <w:color w:val="auto"/>
        </w:rPr>
        <w:t>This prospectus supplement relates to the issuance and sale of up to 29,233,276 shares of Common Stock, par value $0.0001 per share (the “Common Stock”), by Enovix Corporation, a Delaware corporation (“Enovix,” “Company,” “we,” “our,” “us,” and like expressions), upon the exercise of warrants issued by Enovix on July 21, 2025, as a distribution to all holders of the shares of Common Stock and the Company’s 3.00% Convertible Senior Notes due 2028 (the “Convertible Notes”) on the Record Date (as defined below) (each, a “Warrant” and, collectively, the “Warrants”).</w:t>
      </w:r>
    </w:p>
    <w:p>
      <w:pPr>
        <w:spacing w:after="0" w:line="182" w:lineRule="exact"/>
        <w:rPr>
          <w:sz w:val="24"/>
          <w:szCs w:val="24"/>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Our Common Stock is listed on the Nasdaq Global Select Market (“Nasdaq”) under the symbol “ENVX.” On July 18, 2025, the last reported sale price of our Common Stock on the Nasdaq was $15.54 per share.</w:t>
      </w:r>
    </w:p>
    <w:p>
      <w:pPr>
        <w:spacing w:after="0" w:line="163" w:lineRule="exact"/>
        <w:rPr>
          <w:sz w:val="24"/>
          <w:szCs w:val="24"/>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7"/>
          <w:szCs w:val="17"/>
          <w:color w:val="auto"/>
        </w:rPr>
        <w:t>The Company is declaring a distribution (the “Warrant Distribution”) of transferable Warrants at no charge to all of its stockholders of record and holders of record of the Convertible Notes on July 17, 2025 (the “Record Date”). The Company is distributing one Warrant for every seven issued and outstanding shares of Common Stock. Holders (“other eligible recipients”) of the Convertible Notes will also receive, at the same time and on the same terms as holders of Common Stock, Warrants without having to convert such other eligible recipient’s Convertible Notes as if such other eligible recipient held a number of shares of Common Stock equal to the product of (i) the Conversion Rate (as defined in the indenture for the Convertible Notes) in effect on the Record Date and (ii) the aggregate principal amount (expressed in thousands) of Convertible Notes held by such other eligible recipient on such date.</w:t>
      </w:r>
    </w:p>
    <w:p>
      <w:pPr>
        <w:spacing w:after="0" w:line="185" w:lineRule="exact"/>
        <w:rPr>
          <w:sz w:val="24"/>
          <w:szCs w:val="24"/>
          <w:color w:val="auto"/>
        </w:rPr>
      </w:pPr>
    </w:p>
    <w:p>
      <w:pPr>
        <w:ind w:left="120" w:right="400" w:firstLine="440"/>
        <w:spacing w:after="0" w:line="259" w:lineRule="auto"/>
        <w:rPr>
          <w:sz w:val="20"/>
          <w:szCs w:val="20"/>
          <w:color w:val="auto"/>
        </w:rPr>
      </w:pPr>
      <w:r>
        <w:rPr>
          <w:rFonts w:ascii="Times New Roman" w:cs="Times New Roman" w:eastAsia="Times New Roman" w:hAnsi="Times New Roman"/>
          <w:sz w:val="17"/>
          <w:szCs w:val="17"/>
          <w:color w:val="auto"/>
        </w:rPr>
        <w:t>Unless the expiration date of the Warrants is accelerated pursuant to the terms of the Warrant Agreement (defined below) as a result of the Early Expiration Price Condition (defined below), the Warrants may be exercised at any time in accordance with their terms until October 1, 2026, subject to the conditions set forth in the Warrants. Each Warrant entitles the holder thereof to purchase from us one share of Common Stock at an initial Exercise Price of $8.75 per Warrant, in each case, subject to certain adjustments. The Warrants may be exercised for cash only.</w:t>
      </w:r>
    </w:p>
    <w:p>
      <w:pPr>
        <w:spacing w:after="0" w:line="182" w:lineRule="exact"/>
        <w:rPr>
          <w:sz w:val="24"/>
          <w:szCs w:val="24"/>
          <w:color w:val="auto"/>
        </w:rPr>
      </w:pPr>
    </w:p>
    <w:p>
      <w:pPr>
        <w:ind w:left="120" w:right="120" w:firstLine="440"/>
        <w:spacing w:after="0" w:line="265" w:lineRule="auto"/>
        <w:rPr>
          <w:sz w:val="20"/>
          <w:szCs w:val="20"/>
          <w:color w:val="auto"/>
        </w:rPr>
      </w:pPr>
      <w:r>
        <w:rPr>
          <w:rFonts w:ascii="Times New Roman" w:cs="Times New Roman" w:eastAsia="Times New Roman" w:hAnsi="Times New Roman"/>
          <w:sz w:val="17"/>
          <w:szCs w:val="17"/>
          <w:color w:val="auto"/>
        </w:rPr>
        <w:t>Based on the number of shares of Common Stock issued and outstanding and the principal amount of the Convertible Notes outstanding as of July 17, 2025, if all Warrants issued in the Warrant Distribution were exercised, we would have 222,812,395 shares of Common Stock issued and outstanding following the completion of the exercise period for the Warrants.</w:t>
      </w:r>
    </w:p>
    <w:p>
      <w:pPr>
        <w:spacing w:after="0" w:line="176" w:lineRule="exact"/>
        <w:rPr>
          <w:sz w:val="24"/>
          <w:szCs w:val="24"/>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7"/>
          <w:szCs w:val="17"/>
          <w:color w:val="auto"/>
        </w:rPr>
        <w:t>The Warrants have been issued by the Company pursuant to a warrant agreement, dated July 21, 2025, between the Company and Computershare Trust Company, N.A., as Warrant Agent (the “Warrant Agreement”). The Warrants will be transferable when issued and are expected to trade on Nasdaq under the ticker ENVXW. However, there can be no assurance that an orderly, liquid trading market for the Warrants will develop. Any trading value of the Warrants will be determined by the market.</w:t>
      </w:r>
    </w:p>
    <w:p>
      <w:pPr>
        <w:spacing w:after="0" w:line="18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auto"/>
        </w:rPr>
        <w:t>The Company will receive proceeds from the exercise of the Warrants for cash. See “Use of Proceeds” in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241300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ind w:left="120" w:right="40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Investing in the securities offered by this prospectus supplement involves substantial risks. You should carefully consider the risks described under the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section of this prospectus supplement beginning on page S-10 and similar sections in our filings with the Securities and Exchange Commission (“SEC”) incorporated by reference herein before buying any of the shares of Common Stock offered hereby.</w:t>
      </w:r>
    </w:p>
    <w:p>
      <w:pPr>
        <w:spacing w:after="0" w:line="171" w:lineRule="exact"/>
        <w:rPr>
          <w:sz w:val="24"/>
          <w:szCs w:val="24"/>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7"/>
          <w:szCs w:val="17"/>
          <w:b w:val="1"/>
          <w:bCs w:val="1"/>
          <w:color w:val="auto"/>
        </w:rPr>
        <w:t>Neither the SEC nor any other regulatory body has approved or disapproved of these securities or passed upon the accuracy or adequacy of this prospectus supplement or the accompanying prospectus. Any representation to the contrary is a criminal offense.</w:t>
      </w:r>
    </w:p>
    <w:p>
      <w:pPr>
        <w:spacing w:after="0" w:line="1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July 21, 2025.</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40" w:type="dxa"/>
            <w:vAlign w:val="bottom"/>
            <w:gridSpan w:val="3"/>
          </w:tcPr>
          <w:p>
            <w:pPr>
              <w:jc w:val="center"/>
              <w:ind w:right="4394"/>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43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40" w:type="dxa"/>
            <w:vAlign w:val="bottom"/>
            <w:gridSpan w:val="3"/>
          </w:tcPr>
          <w:p>
            <w:pPr>
              <w:jc w:val="center"/>
              <w:ind w:right="4394"/>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r>
      <w:tr>
        <w:trPr>
          <w:trHeight w:val="391"/>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4"/>
        </w:trPr>
        <w:tc>
          <w:tcPr>
            <w:tcW w:w="25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1980" w:type="dxa"/>
            <w:vAlign w:val="bottom"/>
            <w:gridSpan w:val="6"/>
          </w:tcPr>
          <w:p>
            <w:pPr>
              <w:spacing w:after="0"/>
              <w:rPr>
                <w:sz w:val="22"/>
                <w:szCs w:val="22"/>
                <w:color w:val="auto"/>
              </w:rPr>
            </w:pPr>
          </w:p>
        </w:tc>
        <w:tc>
          <w:tcPr>
            <w:tcW w:w="6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304"/>
        </w:trPr>
        <w:tc>
          <w:tcPr>
            <w:tcW w:w="45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Cautionary Statement Regarding Forward-Looking Statements</w:t>
            </w:r>
          </w:p>
        </w:tc>
        <w:tc>
          <w:tcPr>
            <w:tcW w:w="60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S-iii</w:t>
            </w:r>
          </w:p>
        </w:tc>
      </w:tr>
      <w:tr>
        <w:trPr>
          <w:trHeight w:val="304"/>
        </w:trPr>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6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304"/>
        </w:trPr>
        <w:tc>
          <w:tcPr>
            <w:tcW w:w="9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The Offering</w:t>
            </w:r>
          </w:p>
        </w:tc>
        <w:tc>
          <w:tcPr>
            <w:tcW w:w="1480" w:type="dxa"/>
            <w:vAlign w:val="bottom"/>
            <w:tcBorders>
              <w:top w:val="single" w:sz="8" w:color="0000EE"/>
            </w:tcBorders>
            <w:gridSpan w:val="8"/>
          </w:tcPr>
          <w:p>
            <w:pPr>
              <w:spacing w:after="0"/>
              <w:rPr>
                <w:sz w:val="24"/>
                <w:szCs w:val="24"/>
                <w:color w:val="auto"/>
              </w:rPr>
            </w:pPr>
          </w:p>
        </w:tc>
        <w:tc>
          <w:tcPr>
            <w:tcW w:w="2100" w:type="dxa"/>
            <w:vAlign w:val="bottom"/>
            <w:gridSpan w:val="8"/>
          </w:tcPr>
          <w:p>
            <w:pPr>
              <w:spacing w:after="0"/>
              <w:rPr>
                <w:sz w:val="24"/>
                <w:szCs w:val="24"/>
                <w:color w:val="auto"/>
              </w:rPr>
            </w:pPr>
          </w:p>
        </w:tc>
        <w:tc>
          <w:tcPr>
            <w:tcW w:w="6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w:t>
            </w:r>
          </w:p>
        </w:tc>
      </w:tr>
      <w:tr>
        <w:trPr>
          <w:trHeight w:val="304"/>
        </w:trPr>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0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S-10</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60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Description of the Warrants</w:t>
            </w:r>
          </w:p>
        </w:tc>
        <w:tc>
          <w:tcPr>
            <w:tcW w:w="60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S-15</w:t>
            </w:r>
          </w:p>
        </w:tc>
      </w:tr>
      <w:tr>
        <w:trPr>
          <w:trHeight w:val="304"/>
        </w:trPr>
        <w:tc>
          <w:tcPr>
            <w:tcW w:w="19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2540" w:type="dxa"/>
            <w:vAlign w:val="bottom"/>
            <w:gridSpan w:val="10"/>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S-27</w:t>
            </w:r>
          </w:p>
        </w:tc>
      </w:tr>
      <w:tr>
        <w:trPr>
          <w:trHeight w:val="304"/>
        </w:trPr>
        <w:tc>
          <w:tcPr>
            <w:tcW w:w="10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Experts</w:t>
            </w:r>
          </w:p>
        </w:tc>
        <w:tc>
          <w:tcPr>
            <w:tcW w:w="3520" w:type="dxa"/>
            <w:vAlign w:val="bottom"/>
            <w:gridSpan w:val="15"/>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S-27</w:t>
            </w: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60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S-27</w:t>
            </w:r>
          </w:p>
        </w:tc>
      </w:tr>
      <w:tr>
        <w:trPr>
          <w:trHeight w:val="304"/>
        </w:trPr>
        <w:tc>
          <w:tcPr>
            <w:tcW w:w="286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Information Incorporated by Reference</w:t>
            </w:r>
          </w:p>
        </w:tc>
        <w:tc>
          <w:tcPr>
            <w:tcW w:w="1660" w:type="dxa"/>
            <w:vAlign w:val="bottom"/>
            <w:gridSpan w:val="4"/>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S-27</w:t>
            </w:r>
          </w:p>
        </w:tc>
      </w:tr>
      <w:tr>
        <w:trPr>
          <w:trHeight w:val="453"/>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40" w:type="dxa"/>
            <w:vAlign w:val="bottom"/>
            <w:gridSpan w:val="3"/>
          </w:tcPr>
          <w:p>
            <w:pPr>
              <w:jc w:val="center"/>
              <w:ind w:right="4394"/>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39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3"/>
        </w:trPr>
        <w:tc>
          <w:tcPr>
            <w:tcW w:w="1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880" w:type="dxa"/>
            <w:vAlign w:val="bottom"/>
            <w:gridSpan w:val="11"/>
          </w:tcPr>
          <w:p>
            <w:pPr>
              <w:spacing w:after="0"/>
              <w:rPr>
                <w:sz w:val="22"/>
                <w:szCs w:val="22"/>
                <w:color w:val="auto"/>
              </w:rPr>
            </w:pPr>
          </w:p>
        </w:tc>
        <w:tc>
          <w:tcPr>
            <w:tcW w:w="6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304"/>
        </w:trPr>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6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5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000" w:type="dxa"/>
            <w:vAlign w:val="bottom"/>
            <w:gridSpan w:val="12"/>
          </w:tcPr>
          <w:p>
            <w:pPr>
              <w:spacing w:after="0"/>
              <w:rPr>
                <w:sz w:val="24"/>
                <w:szCs w:val="24"/>
                <w:color w:val="auto"/>
              </w:rPr>
            </w:pPr>
          </w:p>
        </w:tc>
        <w:tc>
          <w:tcPr>
            <w:tcW w:w="6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r>
      <w:tr>
        <w:trPr>
          <w:trHeight w:val="304"/>
        </w:trPr>
        <w:tc>
          <w:tcPr>
            <w:tcW w:w="38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640" w:type="dxa"/>
            <w:vAlign w:val="bottom"/>
          </w:tcPr>
          <w:p>
            <w:pPr>
              <w:spacing w:after="0"/>
              <w:rPr>
                <w:sz w:val="24"/>
                <w:szCs w:val="24"/>
                <w:color w:val="auto"/>
              </w:rPr>
            </w:pPr>
          </w:p>
        </w:tc>
        <w:tc>
          <w:tcPr>
            <w:tcW w:w="6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6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r>
      <w:tr>
        <w:trPr>
          <w:trHeight w:val="304"/>
        </w:trPr>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6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r>
      <w:tr>
        <w:trPr>
          <w:trHeight w:val="304"/>
        </w:trPr>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Description of the Debt Securities</w:t>
            </w:r>
          </w:p>
        </w:tc>
        <w:tc>
          <w:tcPr>
            <w:tcW w:w="6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4"/>
        </w:trPr>
        <w:tc>
          <w:tcPr>
            <w:tcW w:w="24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Description of the Warrants</w:t>
            </w:r>
          </w:p>
        </w:tc>
        <w:tc>
          <w:tcPr>
            <w:tcW w:w="2080" w:type="dxa"/>
            <w:vAlign w:val="bottom"/>
            <w:gridSpan w:val="7"/>
          </w:tcPr>
          <w:p>
            <w:pPr>
              <w:spacing w:after="0"/>
              <w:rPr>
                <w:sz w:val="24"/>
                <w:szCs w:val="24"/>
                <w:color w:val="auto"/>
              </w:rPr>
            </w:pPr>
          </w:p>
        </w:tc>
        <w:tc>
          <w:tcPr>
            <w:tcW w:w="6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r>
      <w:tr>
        <w:trPr>
          <w:trHeight w:val="304"/>
        </w:trPr>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Legal Ownership of Securities</w:t>
            </w:r>
          </w:p>
        </w:tc>
        <w:tc>
          <w:tcPr>
            <w:tcW w:w="6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21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gridSpan w:val="9"/>
          </w:tcPr>
          <w:p>
            <w:pPr>
              <w:spacing w:after="0"/>
              <w:rPr>
                <w:sz w:val="24"/>
                <w:szCs w:val="24"/>
                <w:color w:val="auto"/>
              </w:rPr>
            </w:pPr>
          </w:p>
        </w:tc>
        <w:tc>
          <w:tcPr>
            <w:tcW w:w="6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14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100" w:type="dxa"/>
            <w:vAlign w:val="bottom"/>
            <w:gridSpan w:val="13"/>
          </w:tcPr>
          <w:p>
            <w:pPr>
              <w:spacing w:after="0"/>
              <w:rPr>
                <w:sz w:val="24"/>
                <w:szCs w:val="24"/>
                <w:color w:val="auto"/>
              </w:rPr>
            </w:pPr>
          </w:p>
        </w:tc>
        <w:tc>
          <w:tcPr>
            <w:tcW w:w="6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10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Experts</w:t>
            </w:r>
          </w:p>
        </w:tc>
        <w:tc>
          <w:tcPr>
            <w:tcW w:w="3520" w:type="dxa"/>
            <w:vAlign w:val="bottom"/>
            <w:gridSpan w:val="15"/>
          </w:tcPr>
          <w:p>
            <w:pPr>
              <w:spacing w:after="0"/>
              <w:rPr>
                <w:sz w:val="24"/>
                <w:szCs w:val="24"/>
                <w:color w:val="auto"/>
              </w:rPr>
            </w:pPr>
          </w:p>
        </w:tc>
        <w:tc>
          <w:tcPr>
            <w:tcW w:w="6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40" w:type="dxa"/>
            <w:vAlign w:val="bottom"/>
            <w:shd w:val="clear" w:color="auto" w:fill="0000EE"/>
          </w:tcPr>
          <w:p>
            <w:pPr>
              <w:spacing w:after="0" w:line="20" w:lineRule="exact"/>
              <w:rPr>
                <w:sz w:val="1"/>
                <w:szCs w:val="1"/>
                <w:color w:val="auto"/>
              </w:rPr>
            </w:pPr>
          </w:p>
        </w:tc>
        <w:tc>
          <w:tcPr>
            <w:tcW w:w="2700" w:type="dxa"/>
            <w:vAlign w:val="bottom"/>
            <w:gridSpan w:val="1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r>
      <w:tr>
        <w:trPr>
          <w:trHeight w:val="304"/>
        </w:trPr>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3240" w:type="dxa"/>
            <w:vAlign w:val="bottom"/>
            <w:gridSpan w:val="16"/>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r>
      <w:tr>
        <w:trPr>
          <w:trHeight w:val="304"/>
        </w:trPr>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85"/>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40" w:type="dxa"/>
            <w:vAlign w:val="bottom"/>
            <w:gridSpan w:val="3"/>
          </w:tcPr>
          <w:p>
            <w:pPr>
              <w:jc w:val="center"/>
              <w:ind w:right="4394"/>
              <w:spacing w:after="0"/>
              <w:rPr>
                <w:sz w:val="20"/>
                <w:szCs w:val="20"/>
                <w:color w:val="auto"/>
              </w:rPr>
            </w:pPr>
            <w:r>
              <w:rPr>
                <w:rFonts w:ascii="Times New Roman" w:cs="Times New Roman" w:eastAsia="Times New Roman" w:hAnsi="Times New Roman"/>
                <w:sz w:val="18"/>
                <w:szCs w:val="18"/>
                <w:color w:val="auto"/>
                <w:w w:val="94"/>
              </w:rPr>
              <w:t>S-i</w:t>
            </w: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This prospectus supplement and the accompanying prospectus are part of a registration statement that we filed with the SEC. This document contains two parts. The first part consists of this prospectus supplement, which describes the specific terms of this offering. The second part, the accompanying prospectus, provides more general information, some of which may not apply to this offering. </w:t>
      </w:r>
      <w:r>
        <w:rPr>
          <w:rFonts w:ascii="Times New Roman" w:cs="Times New Roman" w:eastAsia="Times New Roman" w:hAnsi="Times New Roman"/>
          <w:sz w:val="17"/>
          <w:szCs w:val="17"/>
          <w:b w:val="1"/>
          <w:bCs w:val="1"/>
          <w:color w:val="auto"/>
        </w:rPr>
        <w:t>If the description of the offering varies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between this prospectus supplement and the accompanying prospectus, you should rely on the information in this prospectus supplement.</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urge you to carefully read this prospectus supplement and the accompanying prospectus, and the documents incorporated by reference herein and therein, before buying any of the securities being offered under this prospectus supplement. You should rely only on the information contained in this prospectus supplement and the accompanying prospectus, or incorporated by reference herein or therein or contained in a freewriting prospectus we have prepared. We have not authorized anyone to provide you with different information. No dealer, salesperson or other person is authorized to give any information or to represent anything not contained in this prospectus supplement and the accompanying prospectus. You should not rely on any unauthorized information or representation. This prospectus supplement is an offer to sell only the securities offered hereby, and only under circumstances and in jurisdictions where it is lawful to do so. You should assume that the information in this prospectus supplement and the accompanying prospectus is accurate only as of the date on the front of the applicable document and that any information we have incorporated by reference is accurate only as of the date of the document incorporated by reference, regardless of the date of delivery of this prospectus supplement or the accompanying prospectus, or any sale of a security.</w:t>
      </w:r>
    </w:p>
    <w:p>
      <w:pPr>
        <w:spacing w:after="0" w:line="194"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Neither we, nor any of our representatives are making any representation to you regarding the legality of an investment in our securities by you under applicable laws. You should consult with your own advisors as to legal, tax, business, financial and related aspects of an investment in our securities. References in this prospectus supplement to the “Company,” “Enovix,” “we,” “our,” or “us,” refer to Enovix Corporation unless otherwise stated or the context otherwise requires.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contains forward-looking statements within the meaning of Section 27A of the Securities Act of 1933, as amended (the “Securities Act”), and Section 21E of the Securities Exchange Act of 1934, as amended (the “Exchange Act”). The statements contained in this prospectus supplement that are not purely historical are forward-looking statements. Forward-looking statements generally relate to future events or our future financial or operating performance and can be identified by words such as anticipate, believe, continue, could, estimate, expect, intend, may, might, plan, possible, potential, predict, project, should, will, would and similar expressions that convey uncertainty about future events or outcomes. In addition, any statements that refer to projections, forecasts, management’s expectations, hopes, beliefs, intentions or strategies regarding the future, are forward-looking statements. Examples of forward-looking statements in this prospectus supplement include, without limitation, statements about:</w:t>
      </w:r>
    </w:p>
    <w:p>
      <w:pPr>
        <w:spacing w:after="0" w:line="94" w:lineRule="exact"/>
        <w:rPr>
          <w:sz w:val="20"/>
          <w:szCs w:val="20"/>
          <w:color w:val="auto"/>
        </w:rPr>
      </w:pPr>
    </w:p>
    <w:p>
      <w:pPr>
        <w:ind w:left="1080" w:right="2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financial position, growth opportunities and guidance, and our anticipation that changes in the global trade environment do not pose a material risk to our outlook;</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plans, strategy and product development roadmap, including the readiness, performance, timing, and customer qualification of EX-1M, EX-2M, EX-3M, EX-4M, and other battery nodes;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strategy, including scale-up and operational readiness, including at our Fab2 facility in Malaysia, our assets and facility expansion in South Korea and the anticipated benefits of the SolarEdge asset purchase, and our ability to enhance per-zone capacity and reduce switching time between configurations;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benchmarking of energy density and competitive positioning, including our ability to maintain and expand a performance lead over other silicon-doped or conventional battery architectures, and our beliefs about our competitors’ inability to achieve further energy density enhancements using these techniques due to swelling;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AI-1</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and our Artificial Intelligence Class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batteries;</w:t>
      </w:r>
    </w:p>
    <w:p>
      <w:pPr>
        <w:spacing w:after="0" w:line="58"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interest, qualification activities, and expected adoption of our products across smartphone, smart eyewear, AI-powered devices, XR, handheld computing, defense, drone, IoT, and EV segments;</w:t>
      </w:r>
    </w:p>
    <w:p>
      <w:pPr>
        <w:spacing w:after="0" w:line="88"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or expand commercial agreements, including strategic partnerships, design wins, production contracts, and potential expansion of agreements with automotive OEMs;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value and potential for expansion of our acquired South Korea facility, and its role in supporting defense programs and Fab2 capacity;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seasonal purchasing patterns, including defense procurement cycles;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tariffs, trade policies, and regional market developments on our business strategy and demand outlook;</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risks, and opportunities across our addressable markets and the broader economic environment, including interest rates, inflation, currency fluctuations, and global supply chain evolution;</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to raise additional capital through equity, debt, or other instruments to support operations, growth initiatives, or capital expenditures;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AI feature adoption on demand for energy-dense batteries;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expected success of achieving technical milestones, including audits by OEMs, production ramp-up readiness, and securing purchase orders;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and management of global trade risks.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described in the section titled “Risk Factors” and elsewhere in this prospectus supplement.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required by law. We discuss in greater detail many of these risks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supplement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9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provides an overview of our company and our business. This summary is not complete and does not contain all of the information you should consider before purchasing our securities. You should carefully read all of the information contained or incorporated by reference in this prospectus supplement and any accompanying prospectus, including the “Risk Factors” and our consolidated financial statements and related notes contained herein and therein, before making an investment decision. Unless we specify otherwise, all references in this prospectus to “we,” “our,” “us,” “Enovix” and the “Company” refer to Enovix Corporation.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Enovix Corporation is on a mission to deliver high-performance batteries that unlock the full potential of technology products. We do this by designing, developing, manufacturing, and commercializing next generation Lithium-ion, or Li-ion, battery cells that significantly increase the amount of energy density and storage capacity relative to conventional battery cells. Our battery’s mechanical design, or “architecture,” allows us to use high performance chemistries while enabling safety and charge time advantages.</w:t>
      </w:r>
    </w:p>
    <w:p>
      <w:pPr>
        <w:spacing w:after="0" w:line="180"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Enhanced batteries for the mobile, IoT and defense sectors enable the development of devices that can accommodate user preferences for more advanced features and a slimmer design. Electric vehicles that use advanced batteries charge faster with lower system costs.</w:t>
      </w:r>
    </w:p>
    <w:p>
      <w:pPr>
        <w:spacing w:after="0" w:line="162"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Enovix was established in 2006 based on the fundamental premise that improving battery performance would require a reinvention of the battery’s architecture. Our architecture allows us to use 100% active silicon and no graphite in the battery’s anode, which is the negative electrode that stores lithium ions when a battery is charged. The advantage of silicon over graphite is that a battery can theoretically store more than twice as much lithium as graphite, which increases a battery’s energy density and overall capacity. The battery industry has historically struggled to incorporate more than a small amount of silicon in the anode because silicon can swell and crack in conventional architectures, impacting safety and performance. By contrast, our architecture is designed to accommodate silicon’s swelling and apply stack pressure that alleviates the cracking problem.</w:t>
      </w:r>
    </w:p>
    <w:p>
      <w:pPr>
        <w:spacing w:after="0" w:line="189"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We have devoted significant funds and resources to develop our battery’s architecture and the unique patterning and stacking assembly process for manufacturing our cells. This was done in conjunction with partnership and investment from several strategic partners in the solar and semiconductor industries. Since 2018, we have sampled batteries to customers that have validated the performance of our products. In 2020, we started procuring equipment for our first production line (“Fab1”) at our headquarters in Silicon Valley. We recognized our first production revenue in the second quarter of 2022 from Fab1. In 2023, we identified a facility in Malaysia (“Fab2”) for high-volume production and acquired Routejade, Inc. (“Routejade”), a battery manufacturer in South Korea. The acquisition of Routejade allowed us to vertically integrate electrode coating and battery pack manufacturing and expand our battery offerings to include conventional graphite battery technology to service the IoT, industrial and defense markets.</w:t>
      </w:r>
    </w:p>
    <w:p>
      <w:pPr>
        <w:spacing w:after="0" w:line="192"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Between May and July of 2024, we relocated our Fab1 R&amp;D pilot line equipment to Fab2 in Malaysia. In August 2024, we officially opened our Fab2 production facility, located at the Penang Science Park in Malaysia. We have three manufacturing lines at Fab2, including the R&amp;D focused pilot production line, the Agility line and the High-Volume (“HVM”) line. In October 2024, we commenced shipping battery cells from the Agility line and as of the end of 2024, we had completed Site Acceptance Testing for the Agility and HVM lines.</w:t>
      </w:r>
    </w:p>
    <w:p>
      <w:pPr>
        <w:spacing w:after="0" w:line="180"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Following the opening of Fab2 in Malaysia, our corporate functions, and certain sales, operations and engineering activities, are located at our U.S. headquarters, while our manufacturing and research and development activities are conducted primarily in Malaysia, Korea and India.</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498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2498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We were incorporated in Delaware in 2020 as a blank check company under the name Rodgers Silicon Valley Acquisition Corp. (“RSVAC”). On July 14, 2021 (the “Closing Date”), Enovix Corporation (“Legacy Enovix”), RSVAC and RSVAC Merger Sub Inc., a Delaware corporation and wholly owned subsidiary of RSVAC (the “Merger Sub”), consummated the closing of the transactions contemplated by the Agreement and Plan of Merger dated February 22, 2021, by and among RSVAC, Legacy Enovix and Merger Sub (the “Merger Agreement”). Pursuant to the Merger Agreement, the combination of Legacy Enovix and RSVAC was effected through the merger of Merger Sub with and into Legacy Enovix, with Legacy Enovix surviving as a wholly owned subsidiary of RSVAC.</w:t>
      </w:r>
    </w:p>
    <w:p>
      <w:pPr>
        <w:spacing w:after="0" w:line="187"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On the Closing Date, Legacy Enovix changed its name to Enovix Operations Inc. and RSVAC changed its name to Enovix Corporation. On January 17, 2023, Legacy Enovix merged with and into Enovix Corporation, with the separate existence of Legacy Enovix ceasing and Enovix Corporation being the surviving corporation of such merger.</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3501 W. Warren Avenue, Fremont, California 94538 and our telephone number is</w:t>
      </w:r>
    </w:p>
    <w:p>
      <w:pPr>
        <w:spacing w:after="0" w:line="27" w:lineRule="exact"/>
        <w:rPr>
          <w:sz w:val="20"/>
          <w:szCs w:val="20"/>
          <w:color w:val="auto"/>
        </w:rPr>
      </w:pPr>
    </w:p>
    <w:p>
      <w:pPr>
        <w:ind w:left="300" w:hanging="2"/>
        <w:spacing w:after="0" w:line="255" w:lineRule="auto"/>
        <w:tabs>
          <w:tab w:leader="none" w:pos="7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695-2350. Our corporate website address is http://www.enovix.com. References to our website address do not constitute incorporation by reference of the information contained on the website, and the information contained on the website is not part of this document, the accompanying prospectus, or the registration statement of which this prospectus supplement and the accompanying prospectus form a part.</w:t>
      </w:r>
    </w:p>
    <w:p>
      <w:pPr>
        <w:spacing w:after="0" w:line="3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78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40" w:firstLine="426"/>
        <w:spacing w:after="0" w:line="290" w:lineRule="auto"/>
        <w:rPr>
          <w:sz w:val="20"/>
          <w:szCs w:val="20"/>
          <w:color w:val="auto"/>
        </w:rPr>
      </w:pPr>
      <w:r>
        <w:rPr>
          <w:rFonts w:ascii="Times New Roman" w:cs="Times New Roman" w:eastAsia="Times New Roman" w:hAnsi="Times New Roman"/>
          <w:sz w:val="17"/>
          <w:szCs w:val="17"/>
          <w:i w:val="1"/>
          <w:iCs w:val="1"/>
          <w:color w:val="auto"/>
        </w:rPr>
        <w:t>This summary highlights the information contained elsewhere in this prospectus supplement. You should read carefully the following summary together with the more detailed description of the terms of the Warrants and Common Stock contained elsewhere in this prospectus supplement. See “Description of the Warrants” in this prospectus supplement and “Description of Capital Stock” in the accompanying prospectus.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Enovix Corporation</w:t>
            </w:r>
          </w:p>
        </w:tc>
      </w:tr>
      <w:tr>
        <w:trPr>
          <w:trHeight w:val="454"/>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Warrant Distribution:</w:t>
            </w: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Our Board of Directors declared a distribution of transferable Warrants at no charge to all</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of our stockholders. We are distributing on July 21, 2025 (the “Distribution Date”), one</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Warrant for every seven shares of our Common Stock (equaling approximately 0.143 of a</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Warrant per share of Common Stock). Other eligible recipients of our 3.00% Convertible</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Senior Notes due 2028 (the “Convertible Notes”) will also receive, at the same time and on</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 same terms as holders of Common Stock, Warrants without having to convert such</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other eligible recipient’s Convertible Notes as if such other eligible recipient held a number</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of shares of Common Stock equal to the product of (i) the Conversion Rate (as defined in</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 indenture for the Convertible Notes) in effect on the Record Date (defined below); and</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(ii) the aggregate principal amount (expressed in thousands) of Convertible Notes held by</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such other eligible recipient on such date. Each Warrant will entitle the holder thereof (the</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“Holder”) to purchase, at the Holder’s sole and exclusive election, at the Exercise Price</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(defined below), one share of Common Stock as set forth in “Warrant Shares” below and</w:t>
            </w:r>
          </w:p>
        </w:tc>
      </w:tr>
      <w:tr>
        <w:trPr>
          <w:trHeight w:val="234"/>
        </w:trPr>
        <w:tc>
          <w:tcPr>
            <w:tcW w:w="3220" w:type="dxa"/>
            <w:vAlign w:val="bottom"/>
          </w:tcPr>
          <w:p>
            <w:pPr>
              <w:spacing w:after="0"/>
              <w:rPr>
                <w:sz w:val="20"/>
                <w:szCs w:val="20"/>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subject to certain adjustments described in the “Anti-Dilution Adjustments” below.</w:t>
            </w:r>
          </w:p>
        </w:tc>
      </w:tr>
      <w:tr>
        <w:trPr>
          <w:trHeight w:val="441"/>
        </w:trPr>
        <w:tc>
          <w:tcPr>
            <w:tcW w:w="3220" w:type="dxa"/>
            <w:vAlign w:val="bottom"/>
          </w:tcPr>
          <w:p>
            <w:pPr>
              <w:spacing w:after="0"/>
              <w:rPr>
                <w:sz w:val="24"/>
                <w:szCs w:val="24"/>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We issued a total of 29,233,276 Warrants (which represent the right to purchase up to</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29,233,276 shares of Common Stock, assuming that no Warrants or shares of Common</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Stock are rounded down). Our officers, directors, employees, affiliates and advisors and</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their respective affiliates who are also stockholders or other eligible recipients will receive</w:t>
            </w:r>
          </w:p>
        </w:tc>
      </w:tr>
      <w:tr>
        <w:trPr>
          <w:trHeight w:val="234"/>
        </w:trPr>
        <w:tc>
          <w:tcPr>
            <w:tcW w:w="3220" w:type="dxa"/>
            <w:vAlign w:val="bottom"/>
          </w:tcPr>
          <w:p>
            <w:pPr>
              <w:spacing w:after="0"/>
              <w:rPr>
                <w:sz w:val="20"/>
                <w:szCs w:val="20"/>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Warrants similar to all other stockholders and other eligible recipients.</w:t>
            </w:r>
          </w:p>
        </w:tc>
      </w:tr>
      <w:tr>
        <w:trPr>
          <w:trHeight w:val="441"/>
        </w:trPr>
        <w:tc>
          <w:tcPr>
            <w:tcW w:w="3220" w:type="dxa"/>
            <w:vAlign w:val="bottom"/>
          </w:tcPr>
          <w:p>
            <w:pPr>
              <w:spacing w:after="0"/>
              <w:rPr>
                <w:sz w:val="24"/>
                <w:szCs w:val="24"/>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Holders may exercise all or a portion of their Warrants or choose not to exercise any</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Warrants at all, or may otherwise sell or transfer their Warrants, in each case, in their sole</w:t>
            </w:r>
          </w:p>
        </w:tc>
      </w:tr>
      <w:tr>
        <w:trPr>
          <w:trHeight w:val="234"/>
        </w:trPr>
        <w:tc>
          <w:tcPr>
            <w:tcW w:w="3220" w:type="dxa"/>
            <w:vAlign w:val="bottom"/>
          </w:tcPr>
          <w:p>
            <w:pPr>
              <w:spacing w:after="0"/>
              <w:rPr>
                <w:sz w:val="20"/>
                <w:szCs w:val="20"/>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and absolute discretion, subject to applicable law.</w:t>
            </w:r>
          </w:p>
        </w:tc>
      </w:tr>
      <w:tr>
        <w:trPr>
          <w:trHeight w:val="441"/>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 Fractional Warrants:</w:t>
            </w: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 Warrant Agent (defined below) will not be required to effect any transaction that</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would result in the issuance of a fraction of a Warrant. If any fractional Warrant would</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otherwise be required to be issued or distributed, we will round down the total number of</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Warrants to be issued to the relevant Holder to the nearest whole number. As a result,</w:t>
            </w:r>
          </w:p>
        </w:tc>
      </w:tr>
      <w:tr>
        <w:trPr>
          <w:trHeight w:val="216"/>
        </w:trPr>
        <w:tc>
          <w:tcPr>
            <w:tcW w:w="3220" w:type="dxa"/>
            <w:vAlign w:val="bottom"/>
          </w:tcPr>
          <w:p>
            <w:pPr>
              <w:spacing w:after="0"/>
              <w:rPr>
                <w:sz w:val="18"/>
                <w:szCs w:val="18"/>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stockholders who own fewer than seven shares (or combined multiples thereof) will not be</w:t>
            </w:r>
          </w:p>
        </w:tc>
      </w:tr>
      <w:tr>
        <w:trPr>
          <w:trHeight w:val="234"/>
        </w:trPr>
        <w:tc>
          <w:tcPr>
            <w:tcW w:w="3220" w:type="dxa"/>
            <w:vAlign w:val="bottom"/>
          </w:tcPr>
          <w:p>
            <w:pPr>
              <w:spacing w:after="0"/>
              <w:rPr>
                <w:sz w:val="20"/>
                <w:szCs w:val="20"/>
                <w:color w:val="auto"/>
              </w:rPr>
            </w:pPr>
          </w:p>
        </w:tc>
        <w:tc>
          <w:tcPr>
            <w:tcW w:w="7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entitled to any Warrants as a result of holding such shares. For example, stockholders who</w:t>
            </w:r>
          </w:p>
        </w:tc>
      </w:tr>
      <w:tr>
        <w:trPr>
          <w:trHeight w:val="172"/>
        </w:trPr>
        <w:tc>
          <w:tcPr>
            <w:tcW w:w="3220" w:type="dxa"/>
            <w:vAlign w:val="bottom"/>
            <w:tcBorders>
              <w:bottom w:val="single" w:sz="8" w:color="auto"/>
            </w:tcBorders>
          </w:tcPr>
          <w:p>
            <w:pPr>
              <w:spacing w:after="0"/>
              <w:rPr>
                <w:sz w:val="14"/>
                <w:szCs w:val="14"/>
                <w:color w:val="auto"/>
              </w:rPr>
            </w:pPr>
          </w:p>
        </w:tc>
        <w:tc>
          <w:tcPr>
            <w:tcW w:w="7800" w:type="dxa"/>
            <w:vAlign w:val="bottom"/>
            <w:tcBorders>
              <w:bottom w:val="single" w:sz="8" w:color="auto"/>
            </w:tcBorders>
          </w:tcPr>
          <w:p>
            <w:pPr>
              <w:spacing w:after="0"/>
              <w:rPr>
                <w:sz w:val="14"/>
                <w:szCs w:val="14"/>
                <w:color w:val="auto"/>
              </w:rPr>
            </w:pPr>
          </w:p>
        </w:tc>
      </w:tr>
      <w:tr>
        <w:trPr>
          <w:trHeight w:val="361"/>
        </w:trPr>
        <w:tc>
          <w:tcPr>
            <w:tcW w:w="3220" w:type="dxa"/>
            <w:vAlign w:val="bottom"/>
          </w:tcPr>
          <w:p>
            <w:pPr>
              <w:spacing w:after="0"/>
              <w:rPr>
                <w:sz w:val="24"/>
                <w:szCs w:val="24"/>
                <w:color w:val="auto"/>
              </w:rPr>
            </w:pPr>
          </w:p>
        </w:tc>
        <w:tc>
          <w:tcPr>
            <w:tcW w:w="7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4100" w:type="dxa"/>
            <w:vAlign w:val="bottom"/>
            <w:tcBorders>
              <w:top w:val="single" w:sz="8" w:color="auto"/>
              <w:left w:val="single" w:sz="8" w:color="auto"/>
            </w:tcBorders>
          </w:tcPr>
          <w:p>
            <w:pPr>
              <w:spacing w:after="0"/>
              <w:rPr>
                <w:sz w:val="24"/>
                <w:szCs w:val="24"/>
                <w:color w:val="auto"/>
              </w:rPr>
            </w:pPr>
          </w:p>
        </w:tc>
        <w:tc>
          <w:tcPr>
            <w:tcW w:w="69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own 2, 166 or 333 shares of Common Stock would receive zero, 23 and 47 warrants,</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respectively. Similarly, Warrants issued to other eligible recipients in the distribution will</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 subject to similar rounding down.</w:t>
            </w:r>
          </w:p>
        </w:tc>
      </w:tr>
      <w:tr>
        <w:trPr>
          <w:trHeight w:val="473"/>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5:00 p.m., New York City time, July 17, 2025.</w:t>
            </w:r>
          </w:p>
        </w:tc>
      </w:tr>
      <w:tr>
        <w:trPr>
          <w:trHeight w:val="454"/>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Shares of Common Stock Currently Outstanding:</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 of the Record Date, 193,579,119 shares of our Common Stock are issued and</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outstanding.</w:t>
            </w:r>
          </w:p>
        </w:tc>
      </w:tr>
      <w:tr>
        <w:trPr>
          <w:trHeight w:val="437"/>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Shares of Common Stock Outstanding Assuming</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will not issue any shares of Common Stock directly in the Warrant Distribution. Based</w:t>
            </w:r>
          </w:p>
        </w:tc>
      </w:tr>
      <w:tr>
        <w:trPr>
          <w:trHeight w:val="220"/>
        </w:trPr>
        <w:tc>
          <w:tcPr>
            <w:tcW w:w="41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Complete Exercise of the Warrants:</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 the number of shares of Common Stock outstanding as of the Record Date, if all</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29,233,276 Warrants issued in the Warrant Distribution were exercised, we would have</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222,812,395 shares of Common Stock outstanding (in each case, assuming no Warrants or</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shares of Common Stock are rounded down).</w:t>
            </w:r>
          </w:p>
        </w:tc>
      </w:tr>
      <w:tr>
        <w:trPr>
          <w:trHeight w:val="441"/>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Warrant Shares:</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Each Warrant will be exercisable for one share of our Common Stock, subject to certain</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adjustments described in “Warrant Exercise Rate Adjustments” below. Such number of</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shares of Common Stock, as it may be adjusted, is referred to as the “Warrant Exercise</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Rate.”</w:t>
            </w:r>
          </w:p>
        </w:tc>
      </w:tr>
      <w:tr>
        <w:trPr>
          <w:trHeight w:val="441"/>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 Fractional Shares:</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Company will not issue fractional shares of Common Stock, or pay cash in lieu</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thereof, upon the exercise of the Warrants. If a stockholder would be entitled to receive a</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fractional number of shares of Common Stock upon exercise of the Warrants, we will</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round down the total number of shares of Common Stock to be issued to such stockholder</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 the nearest whole number. The Company’s calculation shall be determinative.</w:t>
            </w:r>
          </w:p>
        </w:tc>
      </w:tr>
      <w:tr>
        <w:trPr>
          <w:trHeight w:val="459"/>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$8.75 per Warrant (the “Exercise Price”). The Exercise Price must be paid in cash.</w:t>
            </w:r>
          </w:p>
        </w:tc>
      </w:tr>
      <w:tr>
        <w:trPr>
          <w:trHeight w:val="450"/>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Issuance of Common Stock Upon Exercise of</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If you are a holder of record of our Common Stock and you exercise your Warrants to</w:t>
            </w:r>
          </w:p>
        </w:tc>
      </w:tr>
      <w:tr>
        <w:trPr>
          <w:trHeight w:val="220"/>
        </w:trPr>
        <w:tc>
          <w:tcPr>
            <w:tcW w:w="41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purchase Common Stock, our transfer agent will issue a direct registration account</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statement representing those shares to you as soon as practicable after the exercise of the</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Warrants. If your shares are held through a broker, dealer, custodian bank or other nominee</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you exercise your Warrants, your account at your nominee will be credited with those</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shares as soon as practicable following the exercise of your Warrants.</w:t>
            </w:r>
          </w:p>
        </w:tc>
      </w:tr>
      <w:tr>
        <w:trPr>
          <w:trHeight w:val="441"/>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Period:</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Subject to applicable laws and regulations, the Warrants may be exercised at any time</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starting on the date of issuance until 5:00 p.m. New York City time on the Expiration Date</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(defined below).</w:t>
            </w:r>
          </w:p>
        </w:tc>
      </w:tr>
      <w:tr>
        <w:trPr>
          <w:trHeight w:val="172"/>
        </w:trPr>
        <w:tc>
          <w:tcPr>
            <w:tcW w:w="4100" w:type="dxa"/>
            <w:vAlign w:val="bottom"/>
            <w:tcBorders>
              <w:left w:val="single" w:sz="8" w:color="auto"/>
              <w:bottom w:val="single" w:sz="8" w:color="auto"/>
            </w:tcBorders>
          </w:tcPr>
          <w:p>
            <w:pPr>
              <w:spacing w:after="0"/>
              <w:rPr>
                <w:sz w:val="14"/>
                <w:szCs w:val="14"/>
                <w:color w:val="auto"/>
              </w:rPr>
            </w:pPr>
          </w:p>
        </w:tc>
        <w:tc>
          <w:tcPr>
            <w:tcW w:w="6920" w:type="dxa"/>
            <w:vAlign w:val="bottom"/>
            <w:tcBorders>
              <w:bottom w:val="single" w:sz="8" w:color="auto"/>
              <w:right w:val="single" w:sz="8" w:color="auto"/>
            </w:tcBorders>
          </w:tcPr>
          <w:p>
            <w:pPr>
              <w:spacing w:after="0"/>
              <w:rPr>
                <w:sz w:val="14"/>
                <w:szCs w:val="14"/>
                <w:color w:val="auto"/>
              </w:rPr>
            </w:pPr>
          </w:p>
        </w:tc>
      </w:tr>
      <w:tr>
        <w:trPr>
          <w:trHeight w:val="361"/>
        </w:trPr>
        <w:tc>
          <w:tcPr>
            <w:tcW w:w="4100" w:type="dxa"/>
            <w:vAlign w:val="bottom"/>
          </w:tcPr>
          <w:p>
            <w:pPr>
              <w:spacing w:after="0"/>
              <w:rPr>
                <w:sz w:val="24"/>
                <w:szCs w:val="24"/>
                <w:color w:val="auto"/>
              </w:rPr>
            </w:pPr>
          </w:p>
        </w:tc>
        <w:tc>
          <w:tcPr>
            <w:tcW w:w="69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880" w:type="dxa"/>
            <w:vAlign w:val="bottom"/>
            <w:tcBorders>
              <w:top w:val="single" w:sz="8" w:color="auto"/>
              <w:left w:val="single" w:sz="8" w:color="auto"/>
            </w:tcBorders>
          </w:tcPr>
          <w:p>
            <w:pPr>
              <w:spacing w:after="0"/>
              <w:rPr>
                <w:sz w:val="24"/>
                <w:szCs w:val="24"/>
                <w:color w:val="auto"/>
              </w:rPr>
            </w:pPr>
          </w:p>
        </w:tc>
        <w:tc>
          <w:tcPr>
            <w:tcW w:w="714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Any otherwise valid exercise of Warrant submitted after the applicable deadline for</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exercise may, in the sole and absolute discretion of the Company, be accepted and honored.</w:t>
            </w:r>
          </w:p>
        </w:tc>
      </w:tr>
      <w:tr>
        <w:trPr>
          <w:trHeight w:val="234"/>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The Company’s decision with respect to any such exercise shall be determinative.</w:t>
            </w:r>
          </w:p>
        </w:tc>
      </w:tr>
      <w:tr>
        <w:trPr>
          <w:trHeight w:val="441"/>
        </w:trPr>
        <w:tc>
          <w:tcPr>
            <w:tcW w:w="3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Unless the Early Expiration Price Condition (defined below) is met, the Warrants will</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expire and cease to be exercisable at 5:00 p.m. New York City time on October 1, 2026</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(the “Expiration Date”). As summarized in “Early Expiration Price Condition and Date”</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below, the Expiration Date is subject to automatic acceleration upon satisfaction of the</w:t>
            </w:r>
          </w:p>
        </w:tc>
      </w:tr>
      <w:tr>
        <w:trPr>
          <w:trHeight w:val="234"/>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Early Expiration Price Condition.</w:t>
            </w:r>
          </w:p>
        </w:tc>
      </w:tr>
      <w:tr>
        <w:trPr>
          <w:trHeight w:val="441"/>
        </w:trPr>
        <w:tc>
          <w:tcPr>
            <w:tcW w:w="3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Early Expiration Price Condition and Date:</w:t>
            </w: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Upon the occurrence of the first 30 consecutive Trading Day (as defined in the Warrant</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Agreement) period (the “Reference Period”) that includes 20 Qualifying Trading Days</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(whether or not consecutive) the first of which 20 Qualifying Trading Days must fall on or</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after the first Trading Day immediately following the Issue Date (the “Early Expiration</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Price Condition”, and the last of such 20 Qualifying Trading Days to occur, the “Early</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Expiration Price Condition Date”), the Expiration Date will automatically accelerate to the</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date (the “Early Expiration Date”) that is the business day immediately following the Early</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Expiration Price Condition Date. Notwithstanding the foregoing, the Company may set an</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Alternate Expiration Date (defined below) in accordance with the provisions described</w:t>
            </w:r>
          </w:p>
        </w:tc>
      </w:tr>
      <w:tr>
        <w:trPr>
          <w:trHeight w:val="234"/>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below and as further described in the Warrant Agreement.</w:t>
            </w:r>
          </w:p>
        </w:tc>
      </w:tr>
      <w:tr>
        <w:trPr>
          <w:trHeight w:val="441"/>
        </w:trPr>
        <w:tc>
          <w:tcPr>
            <w:tcW w:w="3880" w:type="dxa"/>
            <w:vAlign w:val="bottom"/>
            <w:tcBorders>
              <w:left w:val="single" w:sz="8" w:color="auto"/>
            </w:tcBorders>
          </w:tcPr>
          <w:p>
            <w:pPr>
              <w:spacing w:after="0"/>
              <w:rPr>
                <w:sz w:val="24"/>
                <w:szCs w:val="24"/>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“Qualifying Trading Day” means any Trading Day on which the daily VWAP (as defined</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 the Warrant Agreement) of a share of Common Stock is at least equal to the Early</w:t>
            </w:r>
          </w:p>
        </w:tc>
      </w:tr>
      <w:tr>
        <w:trPr>
          <w:trHeight w:val="234"/>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Expiration Trigger Price in effect on the last day of the Reference Period.</w:t>
            </w:r>
          </w:p>
        </w:tc>
      </w:tr>
      <w:tr>
        <w:trPr>
          <w:trHeight w:val="441"/>
        </w:trPr>
        <w:tc>
          <w:tcPr>
            <w:tcW w:w="3880" w:type="dxa"/>
            <w:vAlign w:val="bottom"/>
            <w:tcBorders>
              <w:left w:val="single" w:sz="8" w:color="auto"/>
            </w:tcBorders>
          </w:tcPr>
          <w:p>
            <w:pPr>
              <w:spacing w:after="0"/>
              <w:rPr>
                <w:sz w:val="24"/>
                <w:szCs w:val="24"/>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The “Early Expiration Trigger Price” is initially equal to $10.50, subject to certain</w:t>
            </w:r>
          </w:p>
        </w:tc>
      </w:tr>
      <w:tr>
        <w:trPr>
          <w:trHeight w:val="234"/>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adjustments described in “Warrant Exercise Rate Adjustments” below.</w:t>
            </w:r>
          </w:p>
        </w:tc>
      </w:tr>
      <w:tr>
        <w:trPr>
          <w:trHeight w:val="441"/>
        </w:trPr>
        <w:tc>
          <w:tcPr>
            <w:tcW w:w="3880" w:type="dxa"/>
            <w:vAlign w:val="bottom"/>
            <w:tcBorders>
              <w:left w:val="single" w:sz="8" w:color="auto"/>
            </w:tcBorders>
          </w:tcPr>
          <w:p>
            <w:pPr>
              <w:spacing w:after="0"/>
              <w:rPr>
                <w:sz w:val="24"/>
                <w:szCs w:val="24"/>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 the event of an early expiration of the Warrants, Warrants will be exercisable until 5:00</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p.m. New York City time on the Early Expiration Date, unless an Alternate Expiration Date</w:t>
            </w:r>
          </w:p>
        </w:tc>
      </w:tr>
      <w:tr>
        <w:trPr>
          <w:trHeight w:val="234"/>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is set as provided below.</w:t>
            </w:r>
          </w:p>
        </w:tc>
      </w:tr>
      <w:tr>
        <w:trPr>
          <w:trHeight w:val="441"/>
        </w:trPr>
        <w:tc>
          <w:tcPr>
            <w:tcW w:w="3880" w:type="dxa"/>
            <w:vAlign w:val="bottom"/>
            <w:tcBorders>
              <w:left w:val="single" w:sz="8" w:color="auto"/>
            </w:tcBorders>
          </w:tcPr>
          <w:p>
            <w:pPr>
              <w:spacing w:after="0"/>
              <w:rPr>
                <w:sz w:val="24"/>
                <w:szCs w:val="24"/>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If the Early Expiration Price Condition occurs, the Company will make a public</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announcement to that effect by issuance of a press release (the “Early Expiration Price</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Condition Notice”) as promptly as practicable after market close on the Early Expiration</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Price Condition Date setting forth the Early Expiration Date or an Alternate Expiration</w:t>
            </w:r>
          </w:p>
        </w:tc>
      </w:tr>
      <w:tr>
        <w:trPr>
          <w:trHeight w:val="234"/>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Date as set forth below.</w:t>
            </w:r>
          </w:p>
        </w:tc>
      </w:tr>
      <w:tr>
        <w:trPr>
          <w:trHeight w:val="172"/>
        </w:trPr>
        <w:tc>
          <w:tcPr>
            <w:tcW w:w="3880" w:type="dxa"/>
            <w:vAlign w:val="bottom"/>
            <w:tcBorders>
              <w:left w:val="single" w:sz="8" w:color="auto"/>
              <w:bottom w:val="single" w:sz="8" w:color="auto"/>
            </w:tcBorders>
          </w:tcPr>
          <w:p>
            <w:pPr>
              <w:spacing w:after="0"/>
              <w:rPr>
                <w:sz w:val="14"/>
                <w:szCs w:val="14"/>
                <w:color w:val="auto"/>
              </w:rPr>
            </w:pPr>
          </w:p>
        </w:tc>
        <w:tc>
          <w:tcPr>
            <w:tcW w:w="7140" w:type="dxa"/>
            <w:vAlign w:val="bottom"/>
            <w:tcBorders>
              <w:bottom w:val="single" w:sz="8" w:color="auto"/>
              <w:right w:val="single" w:sz="8" w:color="auto"/>
            </w:tcBorders>
          </w:tcPr>
          <w:p>
            <w:pPr>
              <w:spacing w:after="0"/>
              <w:rPr>
                <w:sz w:val="14"/>
                <w:szCs w:val="14"/>
                <w:color w:val="auto"/>
              </w:rPr>
            </w:pPr>
          </w:p>
        </w:tc>
      </w:tr>
      <w:tr>
        <w:trPr>
          <w:trHeight w:val="361"/>
        </w:trPr>
        <w:tc>
          <w:tcPr>
            <w:tcW w:w="3880" w:type="dxa"/>
            <w:vAlign w:val="bottom"/>
          </w:tcPr>
          <w:p>
            <w:pPr>
              <w:spacing w:after="0"/>
              <w:rPr>
                <w:sz w:val="24"/>
                <w:szCs w:val="24"/>
                <w:color w:val="auto"/>
              </w:rPr>
            </w:pPr>
          </w:p>
        </w:tc>
        <w:tc>
          <w:tcPr>
            <w:tcW w:w="71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3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Alternate Expiration Date:</w:t>
            </w:r>
          </w:p>
        </w:tc>
        <w:tc>
          <w:tcPr>
            <w:tcW w:w="764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The Company may, in its sole discretion, elect to set the Early Expiration Date on a date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falling after the business day immediately following the Early Expiration Price Condition</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Date (such date, an “Alternate Expiration Date”). Any such Alternate Expiration Date shall</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be specified in the Early Expiration Price Condition Notice. In order to exercise the right to</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set an Alternate Expiration Date, the Company shall, no later than the fifth Qualifying</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Trading Day (whether or not consecutive) occurring in any 20 consecutive Trading Day</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period, make a public announcement by issuance of a press release that the Company is</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reserving the right to set an Alternate Expiration Date in the event the Early Expiration</w:t>
            </w:r>
          </w:p>
        </w:tc>
      </w:tr>
      <w:tr>
        <w:trPr>
          <w:trHeight w:val="234"/>
        </w:trPr>
        <w:tc>
          <w:tcPr>
            <w:tcW w:w="3380" w:type="dxa"/>
            <w:vAlign w:val="bottom"/>
            <w:tcBorders>
              <w:left w:val="single" w:sz="8" w:color="auto"/>
            </w:tcBorders>
          </w:tcPr>
          <w:p>
            <w:pPr>
              <w:spacing w:after="0"/>
              <w:rPr>
                <w:sz w:val="20"/>
                <w:szCs w:val="20"/>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Price Condition does occur.</w:t>
            </w:r>
          </w:p>
        </w:tc>
      </w:tr>
      <w:tr>
        <w:trPr>
          <w:trHeight w:val="441"/>
        </w:trPr>
        <w:tc>
          <w:tcPr>
            <w:tcW w:w="338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If the Company sets an Alternate Expiration Date, the expiration of the Warrants on such</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Alternate Expiration Date shall be conditioned on the daily VWAP of a share of Common</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Stock being at least equal to the quotient of the Exercise Price divided by the Warrant</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Exercise Rate for each of the two Trading Days immediately preceding such Alternate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Expiration Date (the “Additional Price Condition”). As promptly as practicable after</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market close on the Trading Day immediately preceding the Alternate Expiration Date, the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Company will make a public announcement by issuance of a press release as to whether the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Additional Price Condition is met. The Company may, in its sole discretion, in any such</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press release, postpone (on one or more occasions) such Alternate Expiration Date to a new</w:t>
            </w:r>
          </w:p>
        </w:tc>
      </w:tr>
      <w:tr>
        <w:trPr>
          <w:trHeight w:val="234"/>
        </w:trPr>
        <w:tc>
          <w:tcPr>
            <w:tcW w:w="3380" w:type="dxa"/>
            <w:vAlign w:val="bottom"/>
            <w:tcBorders>
              <w:left w:val="single" w:sz="8" w:color="auto"/>
            </w:tcBorders>
          </w:tcPr>
          <w:p>
            <w:pPr>
              <w:spacing w:after="0"/>
              <w:rPr>
                <w:sz w:val="20"/>
                <w:szCs w:val="20"/>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Alternate Expiration Date.</w:t>
            </w:r>
          </w:p>
        </w:tc>
      </w:tr>
      <w:tr>
        <w:trPr>
          <w:trHeight w:val="441"/>
        </w:trPr>
        <w:tc>
          <w:tcPr>
            <w:tcW w:w="338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If the Additional Price Condition is not met as to an Alternate Expiration Date specified by</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the Company, unless the Company sets a new Alternate Expiration Date as set forth in the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preceding paragraph (an “Alternate Expiration Date Annulment”), the Expiration Date will</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remain October 1, 2026 unless another Early Expiration Price Condition Date subsequently</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occurs. The definition of Early Expiration Price Condition, Early Expiration Price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Condition Date and Reference Period are subject to appropriate adjustment as set forth in</w:t>
            </w:r>
          </w:p>
        </w:tc>
      </w:tr>
      <w:tr>
        <w:trPr>
          <w:trHeight w:val="234"/>
        </w:trPr>
        <w:tc>
          <w:tcPr>
            <w:tcW w:w="3380" w:type="dxa"/>
            <w:vAlign w:val="bottom"/>
            <w:tcBorders>
              <w:left w:val="single" w:sz="8" w:color="auto"/>
            </w:tcBorders>
          </w:tcPr>
          <w:p>
            <w:pPr>
              <w:spacing w:after="0"/>
              <w:rPr>
                <w:sz w:val="20"/>
                <w:szCs w:val="20"/>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the Warrant Agreement in the event of an Alternate Expiration Date Annulment.</w:t>
            </w:r>
          </w:p>
        </w:tc>
      </w:tr>
      <w:tr>
        <w:trPr>
          <w:trHeight w:val="441"/>
        </w:trPr>
        <w:tc>
          <w:tcPr>
            <w:tcW w:w="33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Form, Transfer and Exchange:</w:t>
            </w: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Indirect “street name” holders of Warrants should contact their broker, bank or other</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intermediary for information on how to transfer or exercise Warrants. The deadlines of</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such intermediaries or of the DTC may be earlier than the stated deadlines set forth in the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Warrant Agreement and described in this prospectus supplement. Record holders of</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Warrants should contact the Warrant Agent for information on how to transfer or exercise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Warrants. The deadlines established by the Warrant Agent may also be earlier than the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stated deadlines set forth in the Warrant Agreement and described in this prospectus</w:t>
            </w:r>
          </w:p>
        </w:tc>
      </w:tr>
      <w:tr>
        <w:trPr>
          <w:trHeight w:val="234"/>
        </w:trPr>
        <w:tc>
          <w:tcPr>
            <w:tcW w:w="3380" w:type="dxa"/>
            <w:vAlign w:val="bottom"/>
            <w:tcBorders>
              <w:left w:val="single" w:sz="8" w:color="auto"/>
            </w:tcBorders>
          </w:tcPr>
          <w:p>
            <w:pPr>
              <w:spacing w:after="0"/>
              <w:rPr>
                <w:sz w:val="20"/>
                <w:szCs w:val="20"/>
                <w:color w:val="auto"/>
              </w:rPr>
            </w:pPr>
          </w:p>
        </w:tc>
        <w:tc>
          <w:tcPr>
            <w:tcW w:w="76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supplement.</w:t>
            </w:r>
          </w:p>
        </w:tc>
      </w:tr>
      <w:tr>
        <w:trPr>
          <w:trHeight w:val="172"/>
        </w:trPr>
        <w:tc>
          <w:tcPr>
            <w:tcW w:w="3380" w:type="dxa"/>
            <w:vAlign w:val="bottom"/>
            <w:tcBorders>
              <w:left w:val="single" w:sz="8" w:color="auto"/>
              <w:bottom w:val="single" w:sz="8" w:color="auto"/>
            </w:tcBorders>
          </w:tcPr>
          <w:p>
            <w:pPr>
              <w:spacing w:after="0"/>
              <w:rPr>
                <w:sz w:val="14"/>
                <w:szCs w:val="14"/>
                <w:color w:val="auto"/>
              </w:rPr>
            </w:pPr>
          </w:p>
        </w:tc>
        <w:tc>
          <w:tcPr>
            <w:tcW w:w="7640" w:type="dxa"/>
            <w:vAlign w:val="bottom"/>
            <w:tcBorders>
              <w:bottom w:val="single" w:sz="8" w:color="auto"/>
              <w:right w:val="single" w:sz="8" w:color="auto"/>
            </w:tcBorders>
          </w:tcPr>
          <w:p>
            <w:pPr>
              <w:spacing w:after="0"/>
              <w:rPr>
                <w:sz w:val="14"/>
                <w:szCs w:val="14"/>
                <w:color w:val="auto"/>
              </w:rPr>
            </w:pPr>
          </w:p>
        </w:tc>
      </w:tr>
      <w:tr>
        <w:trPr>
          <w:trHeight w:val="361"/>
        </w:trPr>
        <w:tc>
          <w:tcPr>
            <w:tcW w:w="3380" w:type="dxa"/>
            <w:vAlign w:val="bottom"/>
          </w:tcPr>
          <w:p>
            <w:pPr>
              <w:spacing w:after="0"/>
              <w:rPr>
                <w:sz w:val="24"/>
                <w:szCs w:val="24"/>
                <w:color w:val="auto"/>
              </w:rPr>
            </w:pPr>
          </w:p>
        </w:tc>
        <w:tc>
          <w:tcPr>
            <w:tcW w:w="7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74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Warrant Exercise Rate Adjustments:</w:t>
            </w:r>
          </w:p>
        </w:tc>
        <w:tc>
          <w:tcPr>
            <w:tcW w:w="728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Warrant Exercise Rate is subject to certain adjustments for events including: (i) stock</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dividends, splits, subdivisions, reclassifications and combinations; (ii) other distributions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and spinoffs; and (iii) shareholder rights plans, and may be amended by the Company.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Early Expiration Trigger Price is subject to proportional adjustment when the Warrant</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Exercise Rate is adjusted or amended or the Exercise Price is amended.</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Assuming that all Warrants distributed are fully exercised for cash, we would receive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proceeds of approximately $248.5 million in the aggregate, after deducting estimated</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commissions and estimated offering expenses. We intend to use the proceeds of any</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Warrant exercises for general corporate purposes.</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Absence of a Public Market:</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Warrants are new securities and there is no established trading market for the Warrants.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Accordingly, there can be no assurances as to the development or liquidity of any market</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for the Warrants. The Warrants will be listed for trading on the Nasdaq under the ticker</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ENVXW. There can be no assurance that any such market will be available for trading of</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Warrants.</w:t>
            </w:r>
          </w:p>
        </w:tc>
      </w:tr>
      <w:tr>
        <w:trPr>
          <w:trHeight w:val="459"/>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Listing of Shares of Common Stock:</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Shares of our Common Stock trade on the Nasdaq under the symbol ENVX.</w:t>
            </w:r>
          </w:p>
        </w:tc>
      </w:tr>
      <w:tr>
        <w:trPr>
          <w:trHeight w:val="454"/>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Maintenance of Registration Statement:</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We will use our commercially reasonable efforts to keep a registration statement effective,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subject to certain exceptions, covering the issuance of the Common Stock issuable upon</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exercise of the Warrants. If the registration statement ceases to be effective for any</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reason at the time of exercise of any Warrants, the right to exercise Warrants shall be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automatically suspended until such registration statement becomes effective (any such</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period, an “Exercise Suspension Period”). The Company shall provide notice by press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release, with a copy to the Warrant Agent, of any Exercise Suspension Period. No Early</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Expiration Price Condition Date, and no calculation of the VWAP for purposes of</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determining the Early Expiration Price Condition Date, shall occur during any Exercise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Suspension Period. If the Expiration Date would otherwise fall in an Exercise Suspension</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Period, notwithstanding anything to the contrary in the Warrant Agreement, the Expiration</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Date shall be extended by the number of days included in such Exercise Suspension Period.</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Rights as a Stockholder:</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Holders of Warrants do not have any rights as a stockholder with respect to the shares of</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Common Stock issuable upon exercise of the Warrants prior to the time such Warrants are</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validly exercised, and the Exercise Price is paid.</w:t>
            </w:r>
          </w:p>
        </w:tc>
      </w:tr>
      <w:tr>
        <w:trPr>
          <w:trHeight w:val="172"/>
        </w:trPr>
        <w:tc>
          <w:tcPr>
            <w:tcW w:w="3740" w:type="dxa"/>
            <w:vAlign w:val="bottom"/>
            <w:tcBorders>
              <w:left w:val="single" w:sz="8" w:color="auto"/>
              <w:bottom w:val="single" w:sz="8" w:color="auto"/>
            </w:tcBorders>
          </w:tcPr>
          <w:p>
            <w:pPr>
              <w:spacing w:after="0"/>
              <w:rPr>
                <w:sz w:val="14"/>
                <w:szCs w:val="14"/>
                <w:color w:val="auto"/>
              </w:rPr>
            </w:pPr>
          </w:p>
        </w:tc>
        <w:tc>
          <w:tcPr>
            <w:tcW w:w="7280" w:type="dxa"/>
            <w:vAlign w:val="bottom"/>
            <w:tcBorders>
              <w:bottom w:val="single" w:sz="8" w:color="auto"/>
              <w:right w:val="single" w:sz="8" w:color="auto"/>
            </w:tcBorders>
          </w:tcPr>
          <w:p>
            <w:pPr>
              <w:spacing w:after="0"/>
              <w:rPr>
                <w:sz w:val="14"/>
                <w:szCs w:val="14"/>
                <w:color w:val="auto"/>
              </w:rPr>
            </w:pPr>
          </w:p>
        </w:tc>
      </w:tr>
      <w:tr>
        <w:trPr>
          <w:trHeight w:val="361"/>
        </w:trPr>
        <w:tc>
          <w:tcPr>
            <w:tcW w:w="3740" w:type="dxa"/>
            <w:vAlign w:val="bottom"/>
          </w:tcPr>
          <w:p>
            <w:pPr>
              <w:spacing w:after="0"/>
              <w:rPr>
                <w:sz w:val="24"/>
                <w:szCs w:val="24"/>
                <w:color w:val="auto"/>
              </w:rPr>
            </w:pPr>
          </w:p>
        </w:tc>
        <w:tc>
          <w:tcPr>
            <w:tcW w:w="72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S-7</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74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728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Shares of Common Stock issuable upon exercise of Warrants are expected to be delivered</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 the applicable Holder as soon as commercially practicable after the applicable Exercise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Date (as defined in the Warrant Agreement). Holders may not receive the shares within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typical one or two business day settlement after exercise of their Warrants. The Company</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reserves the right to change the settlement mechanics, and timing of settlement, as needed.</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Warrants and the Warrant Agreement under which they are issued are governed by the</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laws of the State of New York.</w:t>
            </w:r>
          </w:p>
        </w:tc>
      </w:tr>
      <w:tr>
        <w:trPr>
          <w:trHeight w:val="459"/>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Warrant Agent:</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Computershare Trust Company N.A.</w:t>
            </w:r>
          </w:p>
        </w:tc>
      </w:tr>
      <w:tr>
        <w:trPr>
          <w:trHeight w:val="472"/>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Calculation Agent:</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ConvEx Capital Markets LLC</w:t>
            </w:r>
          </w:p>
        </w:tc>
      </w:tr>
      <w:tr>
        <w:trPr>
          <w:trHeight w:val="473"/>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Advisor:</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B. Dyson Capital Advisors</w:t>
            </w:r>
          </w:p>
        </w:tc>
      </w:tr>
      <w:tr>
        <w:trPr>
          <w:trHeight w:val="454"/>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You should carefully read the section entitled “Risk Factors” on page S-10 of this</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prospectus supplement and on page 5 of the accompanying prospectus.</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You should carefully read the section entitled “Certain U.S. Federal Income Tax</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Consequences” on page S-24 of this prospectus supplement, and consult your tax advisors</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on tax treatment of the Warrants.</w:t>
            </w:r>
          </w:p>
        </w:tc>
      </w:tr>
      <w:tr>
        <w:trPr>
          <w:trHeight w:val="172"/>
        </w:trPr>
        <w:tc>
          <w:tcPr>
            <w:tcW w:w="3740" w:type="dxa"/>
            <w:vAlign w:val="bottom"/>
            <w:tcBorders>
              <w:left w:val="single" w:sz="8" w:color="auto"/>
              <w:bottom w:val="single" w:sz="8" w:color="auto"/>
            </w:tcBorders>
          </w:tcPr>
          <w:p>
            <w:pPr>
              <w:spacing w:after="0"/>
              <w:rPr>
                <w:sz w:val="14"/>
                <w:szCs w:val="14"/>
                <w:color w:val="auto"/>
              </w:rPr>
            </w:pPr>
          </w:p>
        </w:tc>
        <w:tc>
          <w:tcPr>
            <w:tcW w:w="7280" w:type="dxa"/>
            <w:vAlign w:val="bottom"/>
            <w:tcBorders>
              <w:bottom w:val="single" w:sz="8" w:color="auto"/>
              <w:right w:val="single" w:sz="8" w:color="auto"/>
            </w:tcBorders>
          </w:tcPr>
          <w:p>
            <w:pPr>
              <w:spacing w:after="0"/>
              <w:rPr>
                <w:sz w:val="14"/>
                <w:szCs w:val="14"/>
                <w:color w:val="auto"/>
              </w:rPr>
            </w:pPr>
          </w:p>
        </w:tc>
      </w:tr>
      <w:tr>
        <w:trPr>
          <w:trHeight w:val="361"/>
        </w:trPr>
        <w:tc>
          <w:tcPr>
            <w:tcW w:w="3740" w:type="dxa"/>
            <w:vAlign w:val="bottom"/>
          </w:tcPr>
          <w:p>
            <w:pPr>
              <w:spacing w:after="0"/>
              <w:rPr>
                <w:sz w:val="24"/>
                <w:szCs w:val="24"/>
                <w:color w:val="auto"/>
              </w:rPr>
            </w:pPr>
          </w:p>
        </w:tc>
        <w:tc>
          <w:tcPr>
            <w:tcW w:w="72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Important Dates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Please take note of the following important dates and times in connection with the Warrants and shares of Common Stock.</w:t>
      </w:r>
    </w:p>
    <w:p>
      <w:pPr>
        <w:sectPr>
          <w:pgSz w:w="11900" w:h="16838" w:orient="portrait"/>
          <w:cols w:equalWidth="0" w:num="1">
            <w:col w:w="11100"/>
          </w:cols>
          <w:pgMar w:left="320" w:top="455" w:right="479" w:bottom="1440" w:gutter="0" w:footer="0" w:header="0"/>
        </w:sectPr>
      </w:pP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Relevant Date</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Record Date for holders of Common Stock to Receive Warrant Distribution:</w:t>
      </w: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Issuance Date of Warrant Distribution: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Calendar Date or Method of Determination of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17,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2026, unless the Early Expiration Price Condition is met.</w:t>
      </w:r>
    </w:p>
    <w:p>
      <w:pPr>
        <w:spacing w:after="0" w:line="13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the Early Expiration Price Condition is met, then the Expiration Date will be the Business Day immediately following the Early Expiration Price Condition Date, unless the Company sets an Alternate Expiration Date.</w:t>
      </w:r>
    </w:p>
    <w:p>
      <w:pPr>
        <w:spacing w:after="0" w:line="85" w:lineRule="exact"/>
        <w:rPr>
          <w:sz w:val="20"/>
          <w:szCs w:val="20"/>
          <w:color w:val="auto"/>
        </w:rPr>
      </w:pPr>
    </w:p>
    <w:p>
      <w:pPr>
        <w:sectPr>
          <w:pgSz w:w="11900" w:h="16838" w:orient="portrait"/>
          <w:cols w:equalWidth="0" w:num="2">
            <w:col w:w="5600" w:space="260"/>
            <w:col w:w="524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Early Expiration Price Condition Date: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Deadline for Exercise if the Warrants Expire: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Dates Warrants can be Exercised:</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Date of Payment of Exercise Price for Valid Exercise of Warrants:</w:t>
      </w:r>
    </w:p>
    <w:p>
      <w:pPr>
        <w:spacing w:after="0" w:line="20" w:lineRule="exact"/>
        <w:rPr>
          <w:sz w:val="20"/>
          <w:szCs w:val="20"/>
          <w:color w:val="auto"/>
        </w:rPr>
      </w:pPr>
      <w:r>
        <w:rPr>
          <w:sz w:val="20"/>
          <w:szCs w:val="20"/>
          <w:color w:val="auto"/>
        </w:rPr>
        <w:br w:type="column"/>
      </w:r>
    </w:p>
    <w:p>
      <w:pPr>
        <w:ind w:right="40"/>
        <w:spacing w:after="0" w:line="261" w:lineRule="auto"/>
        <w:rPr>
          <w:sz w:val="20"/>
          <w:szCs w:val="20"/>
          <w:color w:val="auto"/>
        </w:rPr>
      </w:pPr>
      <w:r>
        <w:rPr>
          <w:rFonts w:ascii="Times New Roman" w:cs="Times New Roman" w:eastAsia="Times New Roman" w:hAnsi="Times New Roman"/>
          <w:sz w:val="18"/>
          <w:szCs w:val="18"/>
          <w:color w:val="auto"/>
        </w:rPr>
        <w:t>The last day of the first 30 consecutive Trading Day period that includes 20 Qualifying Trading Days (whether or not consecutive) the first of which 20 Qualifying Trading Days must fall on or after the first Trading Day immediately following the Issue Date.</w:t>
      </w:r>
    </w:p>
    <w:p>
      <w:pPr>
        <w:spacing w:after="0" w:line="7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5:00 p.m. New York City time on the Expiration Date, as adjusted pursuant to the Early Expiration Price Condition.</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the issuance date of the Warrants until 5:00 p.m. New York City time on the Expiration Date, as adjusted pursuant to the Early Expiration Price Condition.</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Exercise Price for the Warrants must be paid prior to 5:00 p.m. New York City time on the applicable Exercise Date.</w:t>
      </w:r>
    </w:p>
    <w:p>
      <w:pPr>
        <w:spacing w:after="0" w:line="54" w:lineRule="exact"/>
        <w:rPr>
          <w:sz w:val="20"/>
          <w:szCs w:val="20"/>
          <w:color w:val="auto"/>
        </w:rPr>
      </w:pPr>
    </w:p>
    <w:p>
      <w:pPr>
        <w:sectPr>
          <w:pgSz w:w="11900" w:h="16838" w:orient="portrait"/>
          <w:cols w:equalWidth="0" w:num="2">
            <w:col w:w="5140" w:space="720"/>
            <w:col w:w="524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Settlement Date for exercises of Warrants:</w:t>
      </w:r>
    </w:p>
    <w:p>
      <w:pPr>
        <w:spacing w:after="0" w:line="20" w:lineRule="exact"/>
        <w:rPr>
          <w:sz w:val="20"/>
          <w:szCs w:val="20"/>
          <w:color w:val="auto"/>
        </w:rPr>
      </w:pPr>
      <w:r>
        <w:rPr>
          <w:sz w:val="20"/>
          <w:szCs w:val="20"/>
          <w:color w:val="auto"/>
        </w:rPr>
        <w:br w:type="column"/>
      </w:r>
    </w:p>
    <w:p>
      <w:pPr>
        <w:ind w:left="360" w:right="140"/>
        <w:spacing w:after="0" w:line="282" w:lineRule="auto"/>
        <w:rPr>
          <w:sz w:val="20"/>
          <w:szCs w:val="20"/>
          <w:color w:val="auto"/>
        </w:rPr>
      </w:pPr>
      <w:r>
        <w:rPr>
          <w:rFonts w:ascii="Times New Roman" w:cs="Times New Roman" w:eastAsia="Times New Roman" w:hAnsi="Times New Roman"/>
          <w:sz w:val="18"/>
          <w:szCs w:val="18"/>
          <w:color w:val="auto"/>
        </w:rPr>
        <w:t>As soon as commercially practicable following the applicable Exercise Date.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2">
            <w:col w:w="4780" w:space="720"/>
            <w:col w:w="5600"/>
          </w:cols>
          <w:pgMar w:left="320" w:top="455" w:right="4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Before deciding whether to invest in our securities, you should consider carefully the risks and uncertainties described under the heading “Risk Factors” contained or incorporated by reference in this prospectus supplement and the accompanying prospectus, including the risk factors incorporated by reference herein from our most recent Annual Report on Form 10-K and subsequently filed Quarterly Reports on Form 10-Q, as well as any amendments or updates thereto reflected in subsequent filings we make with the SEC.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harmed. This could cause the trading price of our securities to decline, resulting in a loss of all or part of your investment. Please also read carefully the section below titled “Special Note Regarding Forward-Looking Statements.”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price of the Warrants may decline rapidly and significantly following their distribution.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there is little or no market demand for the Warrants once trading begins, the trading price of the Warrants will likely decline following their distribution. Warrants are being distributed all at once, which could lead to demand and supply imbalances and cause the trading price of the Warrants to decline rapidly and significantly.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active public market for the Warrants may not develop, which would adversely affect the liquidity and market price of the Warrants.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this Warrant Distribution, there has been no existing trading market for the Warrants. After we issue the Warrants and they start to trade on Nasdaq, they will be subject to trading dynamics over which we will have no control. An active and orderly trading market for the Warrants may never develop or, if it develops, it may not be sustained. The trading market for the Warrants may lack adequate size, liquidity or price transparency or may have an unusually high bid-ask spread. You may be unable to sell your Warrants at a price that is favorable to you.</w:t>
      </w:r>
    </w:p>
    <w:p>
      <w:pPr>
        <w:spacing w:after="0" w:line="28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for the Warrants may bear little or no relationship to traditional valuation methods, or to the market price of our Common Stock, and therefore the trading price of the Warrants may fluctuate significantly following their issuance.</w:t>
      </w:r>
    </w:p>
    <w:p>
      <w:pPr>
        <w:spacing w:after="0" w:line="5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trading price of the Warrants may have little or no relationship to, and may be significantly lower, or at times higher, than the price that would otherwise be established using traditional indicators of value, such as our future prospects and those of our industry in general; future potential revenues, earnings, cash flows, and other financial and operating information, or multiples thereof; market prices of securities and other financial and operating information of companies engaged in drug development activities similar to ours; and the views of research analysts. Potential investors should not buy Warrants in the open market unless they are willing to take the risk that the trading price of the Warrants could fluctuate and decline significantly.</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Hedging arrangements relating to the Warrants may affect the value and volatility of our Common Stock.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order to hedge their financial positions, Warrant holders may enter into hedging transactions with respect to our Common Stock, may unwind or adjust hedging transactions and may purchase or sell large blocks of our Common Stock in one or more market transactions. The effect, if any, of these activities on the trading price of our Common Stock will depend in part on market conditions and cannot be known in advance, but any of these activities could adversely affect the value and price volatility of our Common Stock.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Exercising the Warrants is a risky investment and you may not be able to recover the value of your investment in the Common Stock received upon exercise of the Warrants. You should be prepared to sustain a total loss of the exercise price of your Warrants.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July 18, 2025, the last reported price of our Common Stock on the Nasdaq was $15.54 per share. In order for you to recover the value of your investment in the shares of Common Stock received upon exercise of a Warrant at the exercise price, the value of such shares of Common Stock must be more than the exercise price of the Warrants. While the price per share of our Common Stock was $15.54 as of July 18, 2025, if the value of the shares of Common Stock you receive upon exercise of a Warrant is lower than the amount you pay to the exercise the Warrant, you could experience a total loss of your investment in exercising the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lose some or all of your financial investment after exercising a Warrant.</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You may incur a financial or other loss upon or subsequent to the exercise of a Warrant due to a drop in our stock price, or by a failure to timely deliver Warrant shares as of any particular date after exercise, or for other reasons. If the market value of our Common Stock price declines, you may be unable to resell your shares at or above the price at which you acquired them through the exercise of Warrants. We cannot assure you that the price of our Common Stock will not fluctuate or decline significantly below your exercise price in the future, in which case you could incur substantial losses.</w:t>
      </w:r>
    </w:p>
    <w:p>
      <w:pPr>
        <w:spacing w:after="0" w:line="268"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and Warrants could be highly volatile, and purchasers of our Common Stock or Warrants could incur substantial losses.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During calendar year 2025 to-date, the closing sale price of shares of our Common Stock on Nasdaq has been reported as low as $5.46 per share and as high as $15.93 per share. This volatility may affect the price at which you could sell the shares of our Common Stock or Warrants, and the sale of substantial amounts of our Common Stock or Warrants could adversely affect the price of our Common Stock or Warrants. The trading prices of our Common Stock and Warrants are likely to continue to be volatile and subject to significant price and volume fluctuations in response to market and other factors, including those described in the sections captioned “Risk Factors” in this prospectus supplement, the accompanying prospectus and the documents incorporated by reference herein and therein. Additionally, broad market and industry factors may negatively affect the market price of our Common Stock and Warrants, regardless of our actual operating performance.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you may not be able to sell your shares of Common Stock or Warrants at or above the price at which you purchase them.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Speculation in our publicly-traded Common Stock or Warrants may result in extreme price volatility.</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stockholders or Warrant holders or outside investors may speculate on the direction of movements in the price of our Common Stock or Warrants. Speculation in the price of our Common Stock or Warrants may involve long and short exposures. Sudden changes in demand or supply for our Common Stock or Warrants due to speculation or other reasons may create trading anomalies that add volatility to the trading price of these securities. The volatility or direction of our stock price or Warrant price may be unrelated or disproportionate to our operating results, which could cause significant losses to your investments.</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settlement process for shares of Common Stock issuable upon exercise of Warrants is outside of our control and may cause you to lose the value of your investment.</w:t>
      </w:r>
    </w:p>
    <w:p>
      <w:pPr>
        <w:spacing w:after="0" w:line="5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settlement process with respect to exercised Warrants refers to the time between exercise of a Warrant and when the issued Common Stock is delivered to your account, and you become the holder of record of such Common Stock. The settlement process is conducted by outside parties and broker-dealers and is therefore outside of our control.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Rule 15c6-1 of the Securities Exchange Act of 1934, the standard settlement cycle for most broker-dealer transactions is one business day, unless the parties to any such trade expressly agree otherwise. We understand that under existing financial industry practices, delivery of the shares of Common Stock upon exercise of Warrants will likely not occur within one business day, and delivery may take several business days. You could experience a significant loss of your investment in exercising Warrants if the settlement process takes longer than anticipated or fails to settle.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Common Stock upon the exercise of the Warrants may depress our stock price.</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could issue a maximum of up to 29,233,276 shares of Common Stock in connection with the Warrant Distribution, which would be an approximately 15.1% increase from our current number of shares outstanding. The issuance of such additional shares of Common Stock upon exercise of the Warrants, and the resale of such shares on the open market after their issuance, or the perception that such sales could occur, could result in significant downward pressure on our stock price.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holders will not be entitled to any of the rights of holders of our Common Stock.</w:t>
      </w:r>
    </w:p>
    <w:p>
      <w:pPr>
        <w:spacing w:after="0" w:line="121" w:lineRule="exact"/>
        <w:rPr>
          <w:sz w:val="20"/>
          <w:szCs w:val="20"/>
          <w:color w:val="auto"/>
        </w:rPr>
      </w:pPr>
    </w:p>
    <w:p>
      <w:pPr>
        <w:jc w:val="both"/>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Warrant holders will not be entitled to any rights with respect to our Common Stock, including, without limitation, voting rights and rights to receive any dividends or other distributions on our Common Stock, but Warrant holders will be subject to all changes affecting our Common Stock.</w:t>
      </w:r>
    </w:p>
    <w:p>
      <w:pPr>
        <w:spacing w:after="0" w:line="140"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You will have rights with respect to our Common Stock only if you receive our Common Stock upon exercising the Warrants for cash and only as of the date when you become a record owner of the shares of our Common Stock upon such exercise. For example, if an amendment is proposed to our charter or bylaws requiring stockholder approval and the record date for determining the stockholders of record entitled to vote on the amendment occurs prior to the date you are deemed to be the owner of the shares of our Common Stock due upon exercise of your Warrants, you will not be entitled to vote on the amendment, although you will nevertheless be subject to any changes in the powers, preferences or special rights of our Common Stock.</w:t>
      </w:r>
    </w:p>
    <w:p>
      <w:pPr>
        <w:spacing w:after="0" w:line="27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currently intend to pay cash dividends on our Common Stock, stockholders will benefit from an investment in our Common Stock primarily if it appreciates in value.</w:t>
      </w:r>
    </w:p>
    <w:p>
      <w:pPr>
        <w:spacing w:after="0" w:line="51"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anticipate paying any cash dividends on shares of our Common Stock. Any determination to pay dividends in the future would be made by our Board of Directors and would depend upon results of operations, financial conditions, contractual restrictions, restrictions imposed by applicable law, and other factors our Board of Directors would deem relevant. Accordingly, realization of a gain on stockholders’ investments will primarily depend on the appreciation of the price of our Common Stock.</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any net proceeds from this offering and may allocate any net proceeds from this offering in ways that you and other stockholders may not approve.</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if any, from this offering, including for any of the purposes described in the section entitled “Use of Proceeds,” and could spend the net proceeds in ways with which you may not agree. Accordingly, you will be relying on the judgment of our management with regard to the use of the net proceeds, and you will not have the opportunity, as part of your investment decision, to assess whether the net proceeds are being used appropriately. It is possible that the net proceeds will be invested or otherwise used in a way that does not yield a favorable, or any, return for us, or that does not improve our operating results or enhance the value of our Common Stock or other securities. Because of the number and variability of factors that will determine our use of any net proceeds from the exercise of Warrants, the ultimate use of such net proceeds may vary substantially from their currently intended use. The failure of our management to use these net proceeds, if any, effectively could harm our business.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Warrants do not automatically exercise, and any Warrant you do not exercise prior to the Expiration Date will lose all financial value.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Your Warrants do not automatically exercise, even if our Common Stock price remains at or above the exercise price of the Warrants. You are entitled to exercise the full number of Warrants registered in your name or any portion thereof. Any Warrant that you do not exercise for cash prior to the Expiration Date will expire unexercised and you will not receive any shares of our Common Stock. If the Early Expiration Price Condition occurs, the Expiration Date of your Warrants could be accelerated significantly. The Warrants will have no financial value after the Expiration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or other dilution of our equity may adversely affect the market price of our Common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Warrant Agreement does not restrict us from issuing additional shares of Common Stock to the public or under our employee and director compensation plans. We regularly evaluate opportunities to access capital markets, taking into account our capital needs, financial condition, strategic plans and other relevant considerations. The issuance of additional shares of Common Stock or common equivalent securities in future equity offerings will dilute the ownership interest of our existing Common Stockholders and may depress the trading value of the Warrants or our Common Stock. There can be no assurances that we will not in the future determine that it is advisable or necessary to issue additional shares of Common Stock or other securities convertible or exercisable for shares of Common Stock to fund our business needs. We also expect to continue to use equity and stock options to compensate our employees and directors and others. The market price of our Common Stock and the Warrants could decline significantly as a result of such offerings or issuances, or the perception that such offerings or issuances could occur.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registration statement covering the issuance of Common Stock issuable upon exercise of the Warrants may not be available at times.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use our commercially reasonable efforts to keep a registration statement effective, subject to certain exceptions, covering the issuance of the Common Stock issuable upon the exercise of the Warrants; however, we are not prohibited from suspending the use of the registration statement and can suspend it at any time at our discretion as described in this prospectus supplement under the heading “Description of the Warrants – Registration and Suspension.” If at the time of exercise of Warrants, there is no effective registration statement covering the issuance of the shares of Common Stock underlying the Warrants, the right to exercise Warrants shall be automatically suspended until such registration statement becomes effective (any such period, an “Exercise Suspension Period”). The Company shall provide notice by press release, with a copy to the Warrant Agent, of any Exercise Suspension Period. If the Expiration Date would otherwise fall in an Exercise Suspension Period, notwithstanding anything to the contrary in the Warrant Agreement, the Expiration Date shall be extended by the number of days included in such Exercise Suspension Period.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support business growth, and this capital might not be available on favorable terms, or at all.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operations or expansion efforts will require substantial additional financial, operational, and managerial resources and we will need to raise additional funds to expand our operations. We may seek debt financing or additional equity capital. Additional capital may not be available to us, or may only be available on terms that adversely affect our existing stockholders, or that restrict our operations.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example, if we raise additional funds through issuances of equity or convertible debt securities, our existing stockholders could suffer dilution, and any new equity securities we issue could have rights, preferences, and privileges superior to those of holders of our Common Stock. Upon liquidation, holders of our debt securities and lenders with respect to other borrowings will receive distributions of our available assets prior to the holders of our Common Stock. Since our decision to issue securities in any future offering will depend on market conditions and other factors beyond our control, we cannot predict or estimate the amount, timing or nature of our future offerings. Thus, our stockholders bear the risk of our future offerings reducing the market price of our Common Stock.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net proceeds of this offering, if any, will be used for general corporate purposes. Assuming that the Warrants are fully exercised for cash, we expect that the net proceeds of this offering would be approximately $248.5 million, after deducting estimated commissions and estimated offering expenses. We cannot assure you that any of the Warrants will be exercised or that, if any Warrants are exercised, we will use the resulting proceeds in a way with which you agree.</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00"/>
          </w:cols>
          <w:pgMar w:left="320" w:top="455" w:right="5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WARRANTS</w:t>
      </w:r>
    </w:p>
    <w:p>
      <w:pPr>
        <w:spacing w:after="0" w:line="229"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On July 21, 2025, the Company is issuing up to 29,233,276 Warrants as a distribution to holders of record of shares of Common Stock and other eligible recipients holding Convertible Notes on July 17, 2025 (the “Record Date”). The Warrants are being issued by the Company pursuant to the Warrant Agreement. The following description of the Warrants and the Warrant Agreement is only a brief summary and is qualified in its entirety by reference to the complete description of the terms of the Warrants set forth in the Warrant Agreement (including the Form of Warrant attached thereto), which has been filed as an exhibit to our Current Report on Form 8-K, filed on the date of this prospectus supplement. The issuance of the Warrants has not been registered under the Securities Act because the issuance of a dividend in the form of a Warrant for no consideration is not a sale or disposition of a security or interest in a security for value pursuant to Section 2(a)(3) of the Securities Act. We have applied to list the Warrants on Nasdaq.</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 Exercise Rate</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Each Warrant represents the right to purchase from the Company one share of Common Stock (the “Warrant Exercise Rate”) for cash at an initial exercise price of $8.75 (the “Exercise Price”) per Warrant, payable in U.S. dollars.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Warrant Exercise Rate is subject to certain adjustments described in the “Anti-Dilution Adjustments” section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Expiration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the Early Expiration Price Condition is met as described below, the Warrants will expire and cease to be exercisable at 5:00 p.m. New York City time on October 1, 2026 (the “Expiration Date”). The Expiration Date is subject to automatic acceleration upon satisfaction of the Early Expiration Price Condition.</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Upon the occurrence of the first 30 consecutive Trading Day period that includes 20 Qualifying Trading Days (whether or not consecutive) the first of which 20 Qualifying Trading Days must fall on or after the first Trading Day immediately following the Issue Date (the “Early Expiration Price Condition” and the last of such 20 Qualifying Trading Days to occur, the “Early Expiration Price Condition Date”), the Expiration Date will automatically accelerate to the date (the “Early Expiration Date”) that is the business day immediately following the Early Expiration Price Condition Date, unless an Alternate Expiration Date is set as provided below.</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the Early Expiration Price Condition occurs, the Company will make a public announcement to that effect by issuance of a press release (the “Early Expiration Price Condition Notice”) as promptly as practicable after market close on the Early Expiration Price Condition Date setting forth the Early Expiration Date or an Alternate Expiration Date as set forth below.</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may, in its sole discretion, elect to set the Early Expiration Date on a date falling after the business day immediately following the Early Expiration Price Condition Date (such date, an “Alternate Expiration Date”). In order to exercise the right to set an Alternate Expiration Date, the Company shall, no later than the fifth Qualifying Trading Day (whether or not consecutive) occurring in any 20 consecutive Trading Day period, make a public announcement by issuance of a press release that the Company is reserving the right to set an Alternate Expiration Date in the event the Early Expiration Price Condition does occur. If the Company sets an Alternate Expiration Date, the expiration of the Warrants on such Alternate Expiration Date shall be conditioned on the daily VWAP of a share of Common Stock being at least equal to the quotient of the Exercise Price divided by the Warrant Exercise Rate for each of the two Trading Days immediately preceding such Alternate Expiration Date (the “Additional Price Condition”).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promptly as practicable after market close on the Trading Day immediately preceding the Alternate Expiration Date, the Company will make a public announcement by issuance of a press release as to whether the Additional Price Condition is met. The Company may, in its sole discretion, in any such press release, postpone (on one or more occasions) such Alternate Expiration Date to a new Alternate Expiration Date.</w:t>
      </w:r>
    </w:p>
    <w:p>
      <w:pPr>
        <w:spacing w:after="0" w:line="176"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If the Additional Price Condition is not met as to an Alternate Expiration Date specified by the Company, unless the Company sets a new Alternate Expiration Date as set forth in the preceding paragraph (an “Alternate Expiration Date Annulment”), the Expiration Date will remain October 1, 2026 unless another Early Expiration Price Condition Date subsequently occurs. The definition of Early Expiration Price Condition, Early Expiration Price Condition Date and Reference Period are subject to appropriate adjustment as set forth in the Warrant Agreement in the event of an Alternate Expiration Date Annulment.</w:t>
      </w:r>
    </w:p>
    <w:p>
      <w:pPr>
        <w:spacing w:after="0" w:line="183"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For the purposes of the foregoing, “VWAP” of the Common Stock (or other security) on any date of determination means, (i) in the case of the Common Stock, for any day on which trading in the Common Stock generally occurs on the Exchange (or, if the Common Stock is not listed on the Exchange, the U.S. national or regional securities exchange or association or over-the-counter market that is the primary market for the trading of the Common Stock on such day), the per-share volume-weighted average price based on all trades in the consolidated tape system as displayed on Bloomberg page “ENVX US Equity HP” (setting: “Volume Weighted Average Line”) (or its equivalent successor if such page or setting is not available) in respect of such day and (ii) in the case of any other security, for any day on which trading in such security generally occurs on the Exchange (or, if such security is not listed on the Exchange, the U.S. national or regional securities exchange or association or over-the-counter market that is the primary market for the trading of such security on such day), the per-share volume-weighted average price based on all trades in the consolidated tape system as displayed on Bloomberg page “HP” for such security in respect of such day. If such information is not so available for the Common Stock or such other security, the VWAP on such date shall be the Last Reported Sale Price for the Common Stock or such other security on such day.</w:t>
      </w:r>
    </w:p>
    <w:p>
      <w:pPr>
        <w:spacing w:after="0" w:line="17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 “Trading Day” for the purposes of the foregoing definition means a day on which the Common Stock (or other security) (i) at the close of regular way trading (not including after-hours or extended market trading) is not suspended from trading on the Exchange or, if the Common Stock (or such other security, as the case may be) is not listed on the Exchange, any U.S. national or regional securities exchange or association or over-the-counter market that is the primary market for the trading the Common Stock (or such other security, as the case may be) at the Close of Business, and (ii) has traded at least once regular way on the Exchange or, if the Common Stock (or such other security, as the case may be) is not listed on the Exchange, such other U.S. national securities exchange or association or over-the-counter market that is the primary market for the trading of the Common Stock (or such other security, as the case may be); provided that if the Common Stock (or such other security, as the case may be) is not so listed or traded, “Trading Day” means a Business Day.</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 “Qualifying Trading Day” for purposes of the foregoing means any Trading Day on which the VWAP of the Common Stock on such Trading Day is at least equal to the Early Expiration Trigger Price in effect on the last day of the Reference Period.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“Early Expiration Trigger Price” is initially equal to $10.50, subject to certain adjustments.</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Subject to applicable laws and regulations and the terms of the Warrant Agreement, including the occurrence of the Early Expiration Price Condition or the Additional Price Condition, the Warrants may be exercised at any time starting on the date of issuance until 5:00 p.m. New York City time on the Expiration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and Transfer</w:t>
      </w:r>
    </w:p>
    <w:p>
      <w:pPr>
        <w:spacing w:after="0" w:line="121"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The Company is issuing the Warrants in uncertificated, direct registration form. Warrant holders will not be entitled to receive physical certificates. Registration of ownership will be maintained by the Warrant Agent. If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77" w:lineRule="auto"/>
        <w:rPr>
          <w:sz w:val="20"/>
          <w:szCs w:val="20"/>
          <w:color w:val="auto"/>
        </w:rPr>
      </w:pPr>
      <w:r>
        <w:rPr>
          <w:rFonts w:ascii="Times New Roman" w:cs="Times New Roman" w:eastAsia="Times New Roman" w:hAnsi="Times New Roman"/>
          <w:sz w:val="17"/>
          <w:szCs w:val="17"/>
          <w:color w:val="auto"/>
        </w:rPr>
        <w:t>you are a holder of record of shares of Common Stock as of the Record Date, the Warrant Agent will issue a direct registration account statement representing those Warrants. For holders of shares of Common Stock as of the Record Date that hold such shares through a broker, dealer, custodian bank or other nominee, the Warrants will be represented by a global security registered in the name of a depository, which will be the holder of all the Warrants represented by the global security. Those holders who own beneficial interests in a global Warrant will do so through participants in the depository’s system, and the rights of these indirect owners will be governed solely by the applicable procedures of the depository and its participants.</w:t>
      </w:r>
    </w:p>
    <w:p>
      <w:pPr>
        <w:spacing w:after="0" w:line="16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Warrant Agent will not be required to effect any registration of transfer or exchange that would result in any fraction of a Warrant. If any fractional Warrant would otherwise be required to be issued or distributed, the Company or the Warrant Agent, as applicable, will round down the total number of Warrants to be issued to the relevant holder to the nearest whole number.</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Record owners of Warrants may transfer Warrants through the process established by the Warrant Agent. Indirect, “street name” holders of Warrants should contact their broker, bank or other intermediary for information on how to transfer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All or any part of the Warrants may be exercised prior to 5:00 p.m. New York City time on the Expiration Date (as it may be adjusted) by delivering a completed form of election to purchase shares of Common Stock, which contains certain representations by the holder of the Warrants, and payment of the Exercise Price in cash. Any such delivery that occurs on a day that is not a Business Day or is received after 5:00 p.m., New York City time, on any given Business Day will be deemed received and exercised on the next succeeding Business Day. Record owners of Warrants may exercise Warrants through the process established by the Warrant Agent. Indirect, “street name” holders of Warrants should contact their broker, bank or other intermediary for information on how to exercise Warrants.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a registration statement is not effective at any time or from time to time, the right to exercise Warrants shall be automatically suspended until such registration statement becomes effective as described under “Registration and Suspension” below.</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Upon delivery of Warrant Shares upon exercise of Warrants, the Company will issue such whole number of Warrant Shares as the exercising Warrant holder is entitled to receive. If your Warrants are held through a broker, dealer, custodian bank or other nominee and you exercise your Warrants, your account at your nominee will be credited with those shares following the exercise of your Warrants. If you are a holder of record of our Common Stock and you exercise your Warrants, our transfer agent will issue a direct registration account statement representing those shares to you after the exercise of the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Warrant Agreement may be amended without the consent of any Warrant holder to cure any ambiguity, omission, defect or inconsistency, to provide for the assumption by a successor company in any Business Combination (as defined in the Warrant Agreement), to extend the Expiration Date, to decrease the Exercise Price or increase the Warrant Exercise Rate, to provide for net share settlement upon exercise of the Warrants, to make any change that does not adversely affect the rights of any holder in any material respect, to provide for a successor Warrant Agent or Calculation Agent, in connection with any business combination, to provide that the Warrants are exercisable for units of reference property or to conform the provisions of the Warrant Agreement or the certificates for the Warrant this “Description of the Warrants” section of this prospectus supplement. The consent of a majority in interest of the then-outstanding Warrants is required for any amendment that materially and adversely affects the interests of the holders of the then-outstanding Warrants.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60"/>
          </w:cols>
          <w:pgMar w:left="320" w:top="455"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and Suspension</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Company has agreed in the Warrant Agreement to use commercially reasonable efforts to cause a shelf registration statement (including, at the Company’s election, an existing registration statement), filed pursuant to Rule 415 (or any successor provision) of the Securities Act, covering the issuance of shares of Common Stock to the Warrant holders upon exercise of the Warrants to remain effective until the earlier of (i) such time as all Warrants have been exercised and (ii) the Expiration Date. The Company may suspend the availability of the registration statement relating to the Warrants from time to time if the Board of Directors of the Company determines that such a suspension would be necessary or desirable, as determined by the Company in its sole discretion, and the Company provides notice to the Warrant holders. No calculation of the VWAP for purposes of determining the Early Expiration Price Condition shall occur during any period in which the registration statement is suspended, and if the Expiration Date would otherwise fall in an period in which the registration statement is suspended, the Expiration Date shall be delayed by the number of days comprised in such Exercise Suspension Period.</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will use our commercially reasonable efforts to keep a registration statement effective, subject to certain exceptions, covering the issuance of the Common Stock issuable upon the exercise of the Warrants. If the registration statement ceases to be effective for any reason at the time of exercise of any Warrants, the right to exercise Warrants shall be automatically suspended until such registration statement becomes effective (any such period, an “Exercise Suspension Period”). The Company shall provide notice by press release, with a copy to the Warrant Agent, of any Exercise Suspension Period. No Early Expiration Price Condition Date, and no calculation of the VWAP for purposes of determining the Early Expiration Price Condition Date, shall occur during any Exercise Suspension Period. If the Expiration Date would otherwise fall in an Exercise Suspension Period, notwithstanding anything to the contrary in the Warrant Agreement, the Expiration Date shall be extended by the number of days included in such Exercise Suspension Period.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 holder of unexercised Warrants, in his or her capacity as such, is not entitled to any rights of a holder of shares of Common Stock, including, without limitation, the right to vote or to receive dividends or other distributions.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All expenses related to the registration and approval of the shares of Common Stock issuable upon exercise of the Warrants will be borne by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Anti-Dilution Adjustments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Warrant Exercise Rate shall be subject to adjustment, without duplication, as follows, except that the Company shall not make any such adjustments if each holder has the opportunity to participate, at the same time and upon the same terms as holders of the shares of Common Stock and solely as a result of holding the Warrants in any of the transactions described below, without having to exercise such holder’s Warrants, as if such holder held a number of shares of Common Stock equal to the product (rounded down to the nearest whole multiple of a share of Common Stock) of (i) the Warrant Exercise Rate in effect on the record date for such transaction and (ii) the number of Warrants held by it on such record date.</w:t>
      </w:r>
    </w:p>
    <w:p>
      <w:pPr>
        <w:spacing w:after="0" w:line="183" w:lineRule="exact"/>
        <w:rPr>
          <w:sz w:val="20"/>
          <w:szCs w:val="20"/>
          <w:color w:val="auto"/>
        </w:rPr>
      </w:pPr>
    </w:p>
    <w:p>
      <w:pPr>
        <w:ind w:left="120" w:firstLine="436"/>
        <w:spacing w:after="0" w:line="266" w:lineRule="auto"/>
        <w:tabs>
          <w:tab w:leader="none" w:pos="8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Splits, Subdivisions, Reclassifications and Combinations</w:t>
      </w:r>
      <w:r>
        <w:rPr>
          <w:rFonts w:ascii="Times New Roman" w:cs="Times New Roman" w:eastAsia="Times New Roman" w:hAnsi="Times New Roman"/>
          <w:sz w:val="18"/>
          <w:szCs w:val="18"/>
          <w:color w:val="auto"/>
        </w:rPr>
        <w:t>. If the Company shall (i) exclusively issue shares of Common Stock to all or substantially all holders of Common Stock as a dividend or distribution on shares of the Common Stock, (ii) subdivide or reclassify the issued and outstanding shares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Common Stock into a greater number of shares, or (iii) combine, consolidate or reclassify the issued and outstanding shares of Common Stock into a smaller number of shares, then the Warrant Exercise Rate shall be adjusted based on the following formula:</w:t>
      </w:r>
    </w:p>
    <w:p>
      <w:pPr>
        <w:jc w:val="right"/>
        <w:ind w:right="5100"/>
        <w:spacing w:after="0" w:line="217" w:lineRule="auto"/>
        <w:tabs>
          <w:tab w:leader="none" w:pos="5380" w:val="left"/>
        </w:tabs>
        <w:rPr>
          <w:sz w:val="20"/>
          <w:szCs w:val="20"/>
          <w:color w:val="auto"/>
        </w:rPr>
      </w:pPr>
      <w:r>
        <w:rPr>
          <w:rFonts w:ascii="Times New Roman" w:cs="Times New Roman" w:eastAsia="Times New Roman" w:hAnsi="Times New Roman"/>
          <w:sz w:val="35"/>
          <w:szCs w:val="35"/>
          <w:i w:val="1"/>
          <w:iCs w:val="1"/>
          <w:color w:val="auto"/>
          <w:vertAlign w:val="subscript"/>
        </w:rPr>
        <w:t>WER</w:t>
      </w:r>
      <w:r>
        <w:rPr>
          <w:rFonts w:ascii="Times New Roman" w:cs="Times New Roman" w:eastAsia="Times New Roman" w:hAnsi="Times New Roman"/>
          <w:sz w:val="13"/>
          <w:szCs w:val="13"/>
          <w:color w:val="auto"/>
        </w:rPr>
        <w:t xml:space="preserve">1 </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35"/>
          <w:szCs w:val="35"/>
          <w:i w:val="1"/>
          <w:iCs w:val="1"/>
          <w:color w:val="auto"/>
          <w:vertAlign w:val="subscript"/>
        </w:rPr>
        <w:t>WER</w:t>
      </w:r>
      <w:r>
        <w:rPr>
          <w:rFonts w:ascii="Times New Roman" w:cs="Times New Roman" w:eastAsia="Times New Roman" w:hAnsi="Times New Roman"/>
          <w:sz w:val="13"/>
          <w:szCs w:val="13"/>
          <w:color w:val="auto"/>
        </w:rPr>
        <w:t xml:space="preserve">0 </w:t>
      </w:r>
      <w:r>
        <w:rPr>
          <w:rFonts w:ascii="Times New Roman" w:cs="Times New Roman" w:eastAsia="Times New Roman" w:hAnsi="Times New Roman"/>
          <w:sz w:val="35"/>
          <w:szCs w:val="35"/>
          <w:color w:val="auto"/>
          <w:vertAlign w:val="subscript"/>
        </w:rPr>
        <w:t>×</w:t>
      </w:r>
      <w:r>
        <w:rPr>
          <w:sz w:val="20"/>
          <w:szCs w:val="20"/>
          <w:color w:val="auto"/>
        </w:rPr>
        <w:tab/>
      </w:r>
      <w:r>
        <w:rPr>
          <w:rFonts w:ascii="Times New Roman" w:cs="Times New Roman" w:eastAsia="Times New Roman" w:hAnsi="Times New Roman"/>
          <w:sz w:val="28"/>
          <w:szCs w:val="28"/>
          <w:i w:val="1"/>
          <w:iCs w:val="1"/>
          <w:u w:val="single" w:color="auto"/>
          <w:color w:val="auto"/>
          <w:vertAlign w:val="superscript"/>
        </w:rPr>
        <w:t>OS</w:t>
      </w:r>
      <w:r>
        <w:rPr>
          <w:rFonts w:ascii="Times New Roman" w:cs="Times New Roman" w:eastAsia="Times New Roman" w:hAnsi="Times New Roman"/>
          <w:sz w:val="21"/>
          <w:szCs w:val="21"/>
          <w:u w:val="single" w:color="auto"/>
          <w:color w:val="auto"/>
          <w:vertAlign w:val="superscript"/>
        </w:rPr>
        <w:t>1</w:t>
      </w:r>
    </w:p>
    <w:p>
      <w:pPr>
        <w:jc w:val="right"/>
        <w:ind w:right="5100"/>
        <w:spacing w:after="0" w:line="182" w:lineRule="auto"/>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6"/>
          <w:szCs w:val="26"/>
          <w:color w:val="auto"/>
          <w:vertAlign w:val="subscript"/>
        </w:rPr>
        <w:t>0</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43" w:lineRule="exact"/>
        <w:rPr>
          <w:sz w:val="20"/>
          <w:szCs w:val="20"/>
          <w:color w:val="auto"/>
        </w:rPr>
      </w:pPr>
    </w:p>
    <w:p>
      <w:pPr>
        <w:ind w:left="1000" w:right="20" w:hanging="710"/>
        <w:spacing w:after="0" w:line="302" w:lineRule="auto"/>
        <w:rPr>
          <w:sz w:val="20"/>
          <w:szCs w:val="20"/>
          <w:color w:val="auto"/>
        </w:rPr>
      </w:pPr>
      <w:r>
        <w:rPr>
          <w:rFonts w:ascii="Times New Roman" w:cs="Times New Roman" w:eastAsia="Times New Roman" w:hAnsi="Times New Roman"/>
          <w:sz w:val="18"/>
          <w:szCs w:val="18"/>
          <w:i w:val="1"/>
          <w:iCs w:val="1"/>
          <w:color w:val="auto"/>
        </w:rPr>
        <w:t>WER</w:t>
      </w:r>
      <w:r>
        <w:rPr>
          <w:rFonts w:ascii="Times New Roman" w:cs="Times New Roman" w:eastAsia="Times New Roman" w:hAnsi="Times New Roman"/>
          <w:sz w:val="26"/>
          <w:szCs w:val="26"/>
          <w:i w:val="1"/>
          <w:iCs w:val="1"/>
          <w:color w:val="auto"/>
          <w:vertAlign w:val="subscript"/>
        </w:rPr>
        <w:t>1</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Warrant Exercise Rate in effect at the open of business on the Ex-Date for such dividend or distribution, or at the open of business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of such subdivision, combination, consolidation or reclassification, as applicable;</w:t>
      </w:r>
    </w:p>
    <w:p>
      <w:pPr>
        <w:spacing w:after="0" w:line="11" w:lineRule="exact"/>
        <w:rPr>
          <w:sz w:val="20"/>
          <w:szCs w:val="20"/>
          <w:color w:val="auto"/>
        </w:rPr>
      </w:pPr>
    </w:p>
    <w:p>
      <w:pPr>
        <w:ind w:left="1000" w:hanging="710"/>
        <w:spacing w:after="0" w:line="302" w:lineRule="auto"/>
        <w:rPr>
          <w:sz w:val="20"/>
          <w:szCs w:val="20"/>
          <w:color w:val="auto"/>
        </w:rPr>
      </w:pPr>
      <w:r>
        <w:rPr>
          <w:rFonts w:ascii="Times New Roman" w:cs="Times New Roman" w:eastAsia="Times New Roman" w:hAnsi="Times New Roman"/>
          <w:sz w:val="18"/>
          <w:szCs w:val="18"/>
          <w:i w:val="1"/>
          <w:iCs w:val="1"/>
          <w:color w:val="auto"/>
        </w:rPr>
        <w:t>WER</w:t>
      </w:r>
      <w:r>
        <w:rPr>
          <w:rFonts w:ascii="Times New Roman" w:cs="Times New Roman" w:eastAsia="Times New Roman" w:hAnsi="Times New Roman"/>
          <w:sz w:val="26"/>
          <w:szCs w:val="26"/>
          <w:i w:val="1"/>
          <w:iCs w:val="1"/>
          <w:color w:val="auto"/>
          <w:vertAlign w:val="subscript"/>
        </w:rPr>
        <w:t>0</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Warrant Exercise Rate in effect immediately prior to the open of business on the Ex-Date for such dividend or distribution,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open of business on the effective date of such subdivision, combination, consolidation or reclassification, as applicable;</w:t>
      </w:r>
    </w:p>
    <w:p>
      <w:pPr>
        <w:spacing w:after="0" w:line="11" w:lineRule="exact"/>
        <w:rPr>
          <w:sz w:val="20"/>
          <w:szCs w:val="20"/>
          <w:color w:val="auto"/>
        </w:rPr>
      </w:pPr>
    </w:p>
    <w:p>
      <w:pPr>
        <w:ind w:left="1000" w:right="80" w:hanging="561"/>
        <w:spacing w:after="0" w:line="302" w:lineRule="auto"/>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6"/>
          <w:szCs w:val="26"/>
          <w:i w:val="1"/>
          <w:iCs w:val="1"/>
          <w:color w:val="auto"/>
          <w:vertAlign w:val="subscript"/>
        </w:rPr>
        <w:t>1</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number of shares of Common Stock outstanding immediately after, and solely as a result of giving effect to, such dividend,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subdivision, combination, consolidation or reclassification, as applicable;</w:t>
      </w:r>
    </w:p>
    <w:p>
      <w:pPr>
        <w:spacing w:after="0" w:line="11" w:lineRule="exact"/>
        <w:rPr>
          <w:sz w:val="20"/>
          <w:szCs w:val="20"/>
          <w:color w:val="auto"/>
        </w:rPr>
      </w:pPr>
    </w:p>
    <w:p>
      <w:pPr>
        <w:ind w:left="1000" w:right="680" w:hanging="561"/>
        <w:spacing w:after="0" w:line="264" w:lineRule="auto"/>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6"/>
          <w:szCs w:val="26"/>
          <w:i w:val="1"/>
          <w:iCs w:val="1"/>
          <w:color w:val="auto"/>
          <w:vertAlign w:val="subscript"/>
        </w:rPr>
        <w:t>0</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number of shares of Common Stock outstanding immediately prior to the open of business on the Ex-Date for such dividend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or immediately prior to the open of business on the effective date of such subdivision, combination, consolidation or reclassification, as applicable (before giving effect to any such dividend, distribution, or subdivision, consolidation, combination or reclassification, as applicable).</w:t>
      </w:r>
    </w:p>
    <w:p>
      <w:pPr>
        <w:spacing w:after="0" w:line="177"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Any adjustment made under this provision shall become effective at the open of business on such Ex-Date for such dividend or distribution, or at the open of business on the effective date for such subdivision, consolidation, combination or reclassification, as applicable. If an adjustment to the Warrant Exercise Rate is made in respect of any dividend, distribution, subdivision, consolidation, combination or reclassification of the type described in this provision but such dividend, distribution, subdivision, consolidation, combination or reclassification is not so paid or made, the Warrant Exercise Rate shall be readjusted, effective as of the date the Board of Directors determines not to pay or make such dividend, distribution, subdivision, consolidation, combination or reclassification, to the Warrant Exercise Rate that would then be in effect at such time had no such adjustment been made.</w:t>
      </w:r>
    </w:p>
    <w:p>
      <w:pPr>
        <w:spacing w:after="0" w:line="173" w:lineRule="exact"/>
        <w:rPr>
          <w:sz w:val="20"/>
          <w:szCs w:val="20"/>
          <w:color w:val="auto"/>
        </w:rPr>
      </w:pPr>
    </w:p>
    <w:p>
      <w:pPr>
        <w:ind w:left="120" w:right="100" w:firstLine="436"/>
        <w:spacing w:after="0" w:line="258"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Issues.</w:t>
      </w:r>
      <w:r>
        <w:rPr>
          <w:rFonts w:ascii="Times New Roman" w:cs="Times New Roman" w:eastAsia="Times New Roman" w:hAnsi="Times New Roman"/>
          <w:sz w:val="18"/>
          <w:szCs w:val="18"/>
          <w:color w:val="auto"/>
        </w:rPr>
        <w:t xml:space="preserve"> If the Company issues to all or substantially all holders of the Common Stock any rights, options or warrants entitling them, for a period of not more than 45 calendar days after the announcement date of such issuance, to subscribe for or purchase shares of the Common Stock at a price per share that is less than the arithmetic average of the Last Reported Sale Prices of the Common Stock on each Trading Day comprised in the period of 10 consecutive Trading Days immediately preceding the date of announcement of such issuance, the Warrant Exercise Rate shall be increased based on the following formula:</w:t>
      </w:r>
    </w:p>
    <w:p>
      <w:pPr>
        <w:jc w:val="right"/>
        <w:ind w:right="4780"/>
        <w:spacing w:after="0" w:line="234" w:lineRule="auto"/>
        <w:tabs>
          <w:tab w:leader="none" w:pos="5380" w:val="left"/>
        </w:tabs>
        <w:rPr>
          <w:sz w:val="20"/>
          <w:szCs w:val="20"/>
          <w:color w:val="auto"/>
        </w:rPr>
      </w:pPr>
      <w:r>
        <w:rPr>
          <w:rFonts w:ascii="Times New Roman" w:cs="Times New Roman" w:eastAsia="Times New Roman" w:hAnsi="Times New Roman"/>
          <w:sz w:val="35"/>
          <w:szCs w:val="35"/>
          <w:i w:val="1"/>
          <w:iCs w:val="1"/>
          <w:color w:val="auto"/>
          <w:vertAlign w:val="subscript"/>
        </w:rPr>
        <w:t>WER</w:t>
      </w:r>
      <w:r>
        <w:rPr>
          <w:rFonts w:ascii="Times New Roman" w:cs="Times New Roman" w:eastAsia="Times New Roman" w:hAnsi="Times New Roman"/>
          <w:sz w:val="13"/>
          <w:szCs w:val="13"/>
          <w:color w:val="auto"/>
        </w:rPr>
        <w:t xml:space="preserve">1 </w:t>
      </w:r>
      <w:r>
        <w:rPr>
          <w:rFonts w:ascii="Times New Roman" w:cs="Times New Roman" w:eastAsia="Times New Roman" w:hAnsi="Times New Roman"/>
          <w:sz w:val="35"/>
          <w:szCs w:val="35"/>
          <w:i w:val="1"/>
          <w:iCs w:val="1"/>
          <w:color w:val="auto"/>
          <w:vertAlign w:val="subscript"/>
        </w:rPr>
        <w:t>= WER</w:t>
      </w:r>
      <w:r>
        <w:rPr>
          <w:rFonts w:ascii="Times New Roman" w:cs="Times New Roman" w:eastAsia="Times New Roman" w:hAnsi="Times New Roman"/>
          <w:sz w:val="13"/>
          <w:szCs w:val="13"/>
          <w:color w:val="auto"/>
        </w:rPr>
        <w:t xml:space="preserve">0 </w:t>
      </w:r>
      <w:r>
        <w:rPr>
          <w:rFonts w:ascii="Times New Roman" w:cs="Times New Roman" w:eastAsia="Times New Roman" w:hAnsi="Times New Roman"/>
          <w:sz w:val="35"/>
          <w:szCs w:val="35"/>
          <w:color w:val="auto"/>
          <w:vertAlign w:val="subscript"/>
        </w:rPr>
        <w:t>×</w:t>
      </w:r>
      <w:r>
        <w:rPr>
          <w:sz w:val="20"/>
          <w:szCs w:val="20"/>
          <w:color w:val="auto"/>
        </w:rPr>
        <w:tab/>
      </w:r>
      <w:r>
        <w:rPr>
          <w:rFonts w:ascii="Times New Roman" w:cs="Times New Roman" w:eastAsia="Times New Roman" w:hAnsi="Times New Roman"/>
          <w:sz w:val="28"/>
          <w:szCs w:val="28"/>
          <w:i w:val="1"/>
          <w:iCs w:val="1"/>
          <w:u w:val="single" w:color="auto"/>
          <w:color w:val="auto"/>
          <w:vertAlign w:val="superscript"/>
        </w:rPr>
        <w:t>OS</w:t>
      </w:r>
      <w:r>
        <w:rPr>
          <w:rFonts w:ascii="Times New Roman" w:cs="Times New Roman" w:eastAsia="Times New Roman" w:hAnsi="Times New Roman"/>
          <w:sz w:val="20"/>
          <w:szCs w:val="20"/>
          <w:u w:val="single" w:color="auto"/>
          <w:color w:val="auto"/>
          <w:vertAlign w:val="superscript"/>
        </w:rPr>
        <w:t>0</w:t>
      </w:r>
      <w:r>
        <w:rPr>
          <w:rFonts w:ascii="Times New Roman" w:cs="Times New Roman" w:eastAsia="Times New Roman" w:hAnsi="Times New Roman"/>
          <w:sz w:val="28"/>
          <w:szCs w:val="28"/>
          <w:i w:val="1"/>
          <w:iCs w:val="1"/>
          <w:u w:val="single" w:color="auto"/>
          <w:color w:val="auto"/>
          <w:vertAlign w:val="superscript"/>
        </w:rPr>
        <w:t xml:space="preserve"> </w:t>
      </w:r>
      <w:r>
        <w:rPr>
          <w:rFonts w:ascii="Times New Roman" w:cs="Times New Roman" w:eastAsia="Times New Roman" w:hAnsi="Times New Roman"/>
          <w:sz w:val="27"/>
          <w:szCs w:val="27"/>
          <w:i w:val="1"/>
          <w:iCs w:val="1"/>
          <w:color w:val="auto"/>
          <w:vertAlign w:val="superscript"/>
        </w:rPr>
        <w:t>+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-26035</wp:posOffset>
            </wp:positionV>
            <wp:extent cx="203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3835" cy="8890"/>
                    </a:xfrm>
                    <a:prstGeom prst="rect">
                      <a:avLst/>
                    </a:prstGeom>
                    <a:noFill/>
                  </pic:spPr>
                </pic:pic>
              </a:graphicData>
            </a:graphic>
          </wp:anchor>
        </w:drawing>
      </w:r>
    </w:p>
    <w:p>
      <w:pPr>
        <w:jc w:val="right"/>
        <w:ind w:right="4800"/>
        <w:spacing w:after="0" w:line="182" w:lineRule="auto"/>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i w:val="1"/>
          <w:iCs w:val="1"/>
          <w:color w:val="auto"/>
        </w:rPr>
        <w:t xml:space="preserve"> + Y</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where:</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WER</w:t>
      </w:r>
      <w:r>
        <w:rPr>
          <w:rFonts w:ascii="Times New Roman" w:cs="Times New Roman" w:eastAsia="Times New Roman" w:hAnsi="Times New Roman"/>
          <w:sz w:val="26"/>
          <w:szCs w:val="26"/>
          <w:i w:val="1"/>
          <w:iCs w:val="1"/>
          <w:color w:val="auto"/>
          <w:vertAlign w:val="subscript"/>
        </w:rPr>
        <w:t>1</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Warrant Exercise Rate in effect at the open of business on the Ex-Date for such issuance;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WER</w:t>
      </w:r>
      <w:r>
        <w:rPr>
          <w:rFonts w:ascii="Times New Roman" w:cs="Times New Roman" w:eastAsia="Times New Roman" w:hAnsi="Times New Roman"/>
          <w:sz w:val="26"/>
          <w:szCs w:val="26"/>
          <w:i w:val="1"/>
          <w:iCs w:val="1"/>
          <w:color w:val="auto"/>
          <w:vertAlign w:val="subscript"/>
        </w:rPr>
        <w:t>0</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Warrant Exercise Rate in effect immediately prior to the open of business on the Ex-Date for such issuance;</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6"/>
          <w:szCs w:val="26"/>
          <w:i w:val="1"/>
          <w:iCs w:val="1"/>
          <w:color w:val="auto"/>
          <w:vertAlign w:val="subscript"/>
        </w:rPr>
        <w:t>0</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number of shares of Common Stock outstanding immediately prior to the open of business on the Ex-Date for such issuance;</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X = </w:t>
      </w:r>
      <w:r>
        <w:rPr>
          <w:rFonts w:ascii="Times New Roman" w:cs="Times New Roman" w:eastAsia="Times New Roman" w:hAnsi="Times New Roman"/>
          <w:sz w:val="18"/>
          <w:szCs w:val="18"/>
          <w:color w:val="auto"/>
        </w:rPr>
        <w:t>the total number of shares of Common Stock issuable pursuant to such rights, options or warrants; and</w:t>
      </w:r>
    </w:p>
    <w:p>
      <w:pPr>
        <w:spacing w:after="0" w:line="225" w:lineRule="exact"/>
        <w:rPr>
          <w:sz w:val="20"/>
          <w:szCs w:val="20"/>
          <w:color w:val="auto"/>
        </w:rPr>
      </w:pPr>
    </w:p>
    <w:p>
      <w:pPr>
        <w:ind w:left="780" w:right="400" w:hanging="37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Y = </w:t>
      </w:r>
      <w:r>
        <w:rPr>
          <w:rFonts w:ascii="Times New Roman" w:cs="Times New Roman" w:eastAsia="Times New Roman" w:hAnsi="Times New Roman"/>
          <w:sz w:val="18"/>
          <w:szCs w:val="18"/>
          <w:color w:val="auto"/>
        </w:rPr>
        <w:t>the number of shares of Common Stock equal to the aggregate price payable to exercise such rights, options or warrants, divided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arithmetic average of the Last Reported Sale Prices of the Common Stock on each Trading Day comprised in the period of 10 consecutive Trading Days immediately preceding the date of announcement of the issuance of such rights, options or warrants.</w:t>
      </w:r>
    </w:p>
    <w:p>
      <w:pPr>
        <w:spacing w:after="0" w:line="175"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Any adjustment to the Warrant Exercise Rate made under this provision shall be made whenever any such rights, options or warrants are issued and shall become effective at the open of business on the Ex-Date for such issuance. To the extent that shares of the Common Stock are not delivered after the expiration of such rights, options or warrants, the Warrant Exercise Rate shall be decreased to the Warrant Exercise Rate that would then be in effect had the increase with respect to the issuance of such rights, options or warrants been made on the basis of delivery of only the number of shares of Common Stock actually delivered. If an adjustment to the Warrant Exercise Rate is made in respect of any such issuance of rights, options or warrants but such rights, options or warrants are not so issued, the Warrant Exercise Rate shall be readjusted, effective as of the date the Board of Directors determines not to issue such rights, options or warrants, to the Warrant Exercise Rate that would then be in effect at such time had no such adjustment been made.</w:t>
      </w:r>
    </w:p>
    <w:p>
      <w:pPr>
        <w:spacing w:after="0" w:line="17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provision, in determining whether any rights, options or warrants entitle the holders of the Common Stock to subscribe for or purchase shares of the Common Stock at less than such arithmetic average of the Last Reported Sale Prices of the Common Stock on each Trading Day comprised in the period of 10 consecutive Trading Days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187" w:lineRule="exact"/>
        <w:rPr>
          <w:sz w:val="20"/>
          <w:szCs w:val="20"/>
          <w:color w:val="auto"/>
        </w:rPr>
      </w:pPr>
    </w:p>
    <w:p>
      <w:pPr>
        <w:ind w:left="800" w:hanging="244"/>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Distributions and Spin-Offs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0" w:firstLine="436"/>
        <w:spacing w:after="0" w:line="266" w:lineRule="auto"/>
        <w:tabs>
          <w:tab w:leader="none" w:pos="7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 Other than Spin-Offs.</w:t>
      </w:r>
      <w:r>
        <w:rPr>
          <w:rFonts w:ascii="Times New Roman" w:cs="Times New Roman" w:eastAsia="Times New Roman" w:hAnsi="Times New Roman"/>
          <w:sz w:val="18"/>
          <w:szCs w:val="18"/>
          <w:color w:val="auto"/>
        </w:rPr>
        <w:t xml:space="preserve"> If the Company makes a distribution to all or substantially all holders of its Common Stock, of its capital stock, evidences of indebtedness, other assets or property of the Company, or rights, options or warrants to acquire its capital stock or other securities, excluding:</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distributions or issuances described in the provisions above;</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distributions paid exclusively in cash described in the provisions below;</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6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distributions in connection with a business combination, reclassification, change, consolidation, merger, conveyance, transfer, sale, lease or other disposition resulting in the change in the securities or property receivable upon the exercise of a warrant;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issued pursuant to a shareholders’ rights plan adopted by the Company, other than as described in clause (e) below;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 any Spin-Offs described below,</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then the Warrant Exercise Rate shall be increased based on the following formula:</w:t>
      </w:r>
    </w:p>
    <w:p>
      <w:pPr>
        <w:spacing w:after="0" w:line="86" w:lineRule="exact"/>
        <w:rPr>
          <w:sz w:val="20"/>
          <w:szCs w:val="20"/>
          <w:color w:val="auto"/>
        </w:rPr>
      </w:pPr>
    </w:p>
    <w:p>
      <w:pPr>
        <w:jc w:val="right"/>
        <w:ind w:right="4620"/>
        <w:spacing w:after="0"/>
        <w:rPr>
          <w:sz w:val="20"/>
          <w:szCs w:val="20"/>
          <w:color w:val="auto"/>
        </w:rPr>
      </w:pPr>
      <w:r>
        <w:rPr>
          <w:rFonts w:ascii="Times New Roman" w:cs="Times New Roman" w:eastAsia="Times New Roman" w:hAnsi="Times New Roman"/>
          <w:sz w:val="18"/>
          <w:szCs w:val="18"/>
          <w:i w:val="1"/>
          <w:iCs w:val="1"/>
          <w:color w:val="auto"/>
        </w:rPr>
        <w:t>WER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i w:val="1"/>
          <w:iCs w:val="1"/>
          <w:color w:val="auto"/>
        </w:rPr>
        <w:t xml:space="preserve"> = WER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35"/>
          <w:szCs w:val="35"/>
          <w:i w:val="1"/>
          <w:iCs w:val="1"/>
          <w:color w:val="auto"/>
          <w:vertAlign w:val="superscript"/>
        </w:rPr>
        <w:t xml:space="preserve">     SP</w:t>
      </w:r>
      <w:r>
        <w:rPr>
          <w:rFonts w:ascii="Times New Roman" w:cs="Times New Roman" w:eastAsia="Times New Roman" w:hAnsi="Times New Roman"/>
          <w:sz w:val="26"/>
          <w:szCs w:val="26"/>
          <w:u w:val="single" w:color="auto"/>
          <w:color w:val="auto"/>
          <w:vertAlign w:val="superscript"/>
        </w:rPr>
        <w:t>0</w:t>
      </w:r>
      <w:r>
        <w:rPr>
          <w:rFonts w:ascii="Times New Roman" w:cs="Times New Roman" w:eastAsia="Times New Roman" w:hAnsi="Times New Roman"/>
          <w:sz w:val="35"/>
          <w:szCs w:val="35"/>
          <w:i w:val="1"/>
          <w:iCs w:val="1"/>
          <w:color w:val="auto"/>
          <w:vertAlign w:val="super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4552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5295" cy="8255"/>
                    </a:xfrm>
                    <a:prstGeom prst="rect">
                      <a:avLst/>
                    </a:prstGeom>
                    <a:noFill/>
                  </pic:spPr>
                </pic:pic>
              </a:graphicData>
            </a:graphic>
          </wp:anchor>
        </w:drawing>
      </w:r>
    </w:p>
    <w:p>
      <w:pPr>
        <w:jc w:val="right"/>
        <w:ind w:right="4560"/>
        <w:spacing w:after="0" w:line="182" w:lineRule="auto"/>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i w:val="1"/>
          <w:iCs w:val="1"/>
          <w:color w:val="auto"/>
        </w:rPr>
        <w:t xml:space="preserve"> – FMV</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WER</w:t>
      </w:r>
      <w:r>
        <w:rPr>
          <w:rFonts w:ascii="Times New Roman" w:cs="Times New Roman" w:eastAsia="Times New Roman" w:hAnsi="Times New Roman"/>
          <w:sz w:val="26"/>
          <w:szCs w:val="26"/>
          <w:i w:val="1"/>
          <w:iCs w:val="1"/>
          <w:color w:val="auto"/>
          <w:vertAlign w:val="subscript"/>
        </w:rPr>
        <w:t>1</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Warrant Exercise Rate in effect at the open of business on the Ex-Date for such distribution;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WER</w:t>
      </w:r>
      <w:r>
        <w:rPr>
          <w:rFonts w:ascii="Times New Roman" w:cs="Times New Roman" w:eastAsia="Times New Roman" w:hAnsi="Times New Roman"/>
          <w:sz w:val="26"/>
          <w:szCs w:val="26"/>
          <w:i w:val="1"/>
          <w:iCs w:val="1"/>
          <w:color w:val="auto"/>
          <w:vertAlign w:val="subscript"/>
        </w:rPr>
        <w:t>0</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Warrant Exercise Rate in effect immediately prior to the open of business on the Ex-Date for such distribution;</w:t>
      </w:r>
    </w:p>
    <w:p>
      <w:pPr>
        <w:ind w:left="1000" w:right="800" w:hanging="540"/>
        <w:spacing w:after="0" w:line="211" w:lineRule="auto"/>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26"/>
          <w:szCs w:val="26"/>
          <w:i w:val="1"/>
          <w:iCs w:val="1"/>
          <w:color w:val="auto"/>
          <w:vertAlign w:val="subscript"/>
        </w:rPr>
        <w:t>0</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arithmetic average of the Last Reported Sale Prices of the Common Stock on each Trading Day comprised in the period of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consecutive Trading Days immediately preceding the Ex-Date for such distribution; and</w:t>
      </w:r>
    </w:p>
    <w:p>
      <w:pPr>
        <w:spacing w:after="0" w:line="8" w:lineRule="exact"/>
        <w:rPr>
          <w:sz w:val="20"/>
          <w:szCs w:val="20"/>
          <w:color w:val="auto"/>
        </w:rPr>
      </w:pPr>
    </w:p>
    <w:p>
      <w:pPr>
        <w:ind w:left="1000" w:right="360" w:hanging="64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FMV = </w:t>
      </w:r>
      <w:r>
        <w:rPr>
          <w:rFonts w:ascii="Times New Roman" w:cs="Times New Roman" w:eastAsia="Times New Roman" w:hAnsi="Times New Roman"/>
          <w:sz w:val="18"/>
          <w:szCs w:val="18"/>
          <w:color w:val="auto"/>
        </w:rPr>
        <w:t>the Fair Market Value, as of the open of business on the Ex-Date for such distribution, of the shares of capital stock, evidences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assets or property of the Company, cash, rights or warrants distributed with respect to each outstanding share of Common Stock.</w:t>
      </w:r>
    </w:p>
    <w:p>
      <w:pPr>
        <w:spacing w:after="0" w:line="175"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Any adjustment to the Warrant Exercise Rate under this provision shall become effective at the open of business on the Ex-Date for such distribution.</w:t>
      </w:r>
    </w:p>
    <w:p>
      <w:pPr>
        <w:spacing w:after="0" w:line="162" w:lineRule="exact"/>
        <w:rPr>
          <w:sz w:val="20"/>
          <w:szCs w:val="20"/>
          <w:color w:val="auto"/>
        </w:rPr>
      </w:pPr>
    </w:p>
    <w:p>
      <w:pPr>
        <w:ind w:left="120" w:right="40" w:firstLine="436"/>
        <w:spacing w:after="0" w:line="261" w:lineRule="auto"/>
        <w:tabs>
          <w:tab w:leader="none" w:pos="8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Spin-Offs</w:t>
      </w:r>
      <w:r>
        <w:rPr>
          <w:rFonts w:ascii="Times New Roman" w:cs="Times New Roman" w:eastAsia="Times New Roman" w:hAnsi="Times New Roman"/>
          <w:sz w:val="18"/>
          <w:szCs w:val="18"/>
          <w:color w:val="auto"/>
        </w:rPr>
        <w:t>. With respect to an adjustment pursuant to this provision where there has been a payment of a dividend or other distribution by the Company to all or substantially all holders of its Common Stock in shares of capital stock of any class or series, or similar equity interests, of or relating to a subsidiary or other business unit of the Company that will be, upon distribution, listed or quoted on a U.S. national or regional securities exchange (a “Spin-Off”), then the Warrant Exercise Rate shall be increased based on the following formula:</w:t>
      </w:r>
    </w:p>
    <w:p>
      <w:pPr>
        <w:spacing w:after="0" w:line="12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u w:val="single" w:color="auto"/>
          <w:color w:val="auto"/>
        </w:rPr>
        <w:t>FMV + SP</w:t>
      </w:r>
      <w:r>
        <w:rPr>
          <w:rFonts w:ascii="Times New Roman" w:cs="Times New Roman" w:eastAsia="Times New Roman" w:hAnsi="Times New Roman"/>
          <w:sz w:val="13"/>
          <w:szCs w:val="13"/>
          <w:u w:val="single" w:color="auto"/>
          <w:color w:val="auto"/>
        </w:rPr>
        <w:t>0</w:t>
      </w:r>
    </w:p>
    <w:p>
      <w:pPr>
        <w:ind w:left="4400"/>
        <w:spacing w:after="0" w:line="199" w:lineRule="auto"/>
        <w:rPr>
          <w:sz w:val="20"/>
          <w:szCs w:val="20"/>
          <w:color w:val="auto"/>
        </w:rPr>
      </w:pPr>
      <w:r>
        <w:rPr>
          <w:rFonts w:ascii="Times New Roman" w:cs="Times New Roman" w:eastAsia="Times New Roman" w:hAnsi="Times New Roman"/>
          <w:sz w:val="18"/>
          <w:szCs w:val="18"/>
          <w:i w:val="1"/>
          <w:iCs w:val="1"/>
          <w:color w:val="auto"/>
        </w:rPr>
        <w:t>WER</w:t>
      </w:r>
      <w:r>
        <w:rPr>
          <w:rFonts w:ascii="Times New Roman" w:cs="Times New Roman" w:eastAsia="Times New Roman" w:hAnsi="Times New Roman"/>
          <w:sz w:val="13"/>
          <w:szCs w:val="13"/>
          <w:color w:val="auto"/>
        </w:rPr>
        <w:t>1</w:t>
      </w:r>
      <w:r>
        <w:rPr>
          <w:rFonts w:ascii="Times New Roman" w:cs="Times New Roman" w:eastAsia="Times New Roman" w:hAnsi="Times New Roman"/>
          <w:sz w:val="18"/>
          <w:szCs w:val="18"/>
          <w:i w:val="1"/>
          <w:iCs w:val="1"/>
          <w:color w:val="auto"/>
        </w:rPr>
        <w:t xml:space="preserve"> = WER</w:t>
      </w:r>
      <w:r>
        <w:rPr>
          <w:rFonts w:ascii="Times New Roman" w:cs="Times New Roman" w:eastAsia="Times New Roman" w:hAnsi="Times New Roman"/>
          <w:sz w:val="13"/>
          <w:szCs w:val="13"/>
          <w:color w:val="auto"/>
        </w:rPr>
        <w:t>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35"/>
          <w:szCs w:val="35"/>
          <w:i w:val="1"/>
          <w:iCs w:val="1"/>
          <w:color w:val="auto"/>
          <w:vertAlign w:val="subscript"/>
        </w:rPr>
        <w:t xml:space="preserve">      SP</w:t>
      </w:r>
      <w:r>
        <w:rPr>
          <w:rFonts w:ascii="Times New Roman" w:cs="Times New Roman" w:eastAsia="Times New Roman" w:hAnsi="Times New Roman"/>
          <w:sz w:val="26"/>
          <w:szCs w:val="26"/>
          <w:color w:val="auto"/>
          <w:vertAlign w:val="subscript"/>
        </w:rPr>
        <w:t>0</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WER</w:t>
      </w:r>
      <w:r>
        <w:rPr>
          <w:rFonts w:ascii="Times New Roman" w:cs="Times New Roman" w:eastAsia="Times New Roman" w:hAnsi="Times New Roman"/>
          <w:sz w:val="26"/>
          <w:szCs w:val="26"/>
          <w:i w:val="1"/>
          <w:iCs w:val="1"/>
          <w:color w:val="auto"/>
          <w:vertAlign w:val="sub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Warrant Exercise Rate in effect at the open of business on the Ex-Date of the Spin-Off;</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WER</w:t>
      </w:r>
      <w:r>
        <w:rPr>
          <w:rFonts w:ascii="Times New Roman" w:cs="Times New Roman" w:eastAsia="Times New Roman" w:hAnsi="Times New Roman"/>
          <w:sz w:val="26"/>
          <w:szCs w:val="26"/>
          <w:i w:val="1"/>
          <w:iCs w:val="1"/>
          <w:color w:val="auto"/>
          <w:vertAlign w:val="subscript"/>
        </w:rPr>
        <w:t>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Warrant Exercise Rate in effect immediately prior to the open of business on the Ex-Date of the Spin-Off;</w:t>
      </w:r>
    </w:p>
    <w:p>
      <w:pPr>
        <w:spacing w:after="0" w:line="24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FMV </w:t>
      </w:r>
      <w:r>
        <w:rPr>
          <w:rFonts w:ascii="Times New Roman" w:cs="Times New Roman" w:eastAsia="Times New Roman" w:hAnsi="Times New Roman"/>
          <w:sz w:val="18"/>
          <w:szCs w:val="18"/>
          <w:color w:val="auto"/>
        </w:rPr>
        <w:t>= the arithmetic average of the Last Reported Sale Prices of the capital stock or similar equity interest distributed to holders of the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(determined by reference to the definition of Last Reported Sale Price as if references therein to Common Stock were to such capital stock or similar equity interest) applicable to one share of Common Stock on each day which is a Trading Day for both the Common Stock and the capital stock or similar equity interest so distributed (each, a “Valuation Trading Day”) comprised in the period of 10 consecutive Valuation Trading Days commencing on the Ex-Date for such Spin-Off (or, if such Ex-Date is not a Valuation Trading Day, commencing on the immediately following Valuation Trading Day) (such period, the “Valuation Period”); and</w:t>
      </w:r>
    </w:p>
    <w:p>
      <w:pPr>
        <w:spacing w:after="0" w:line="75" w:lineRule="exact"/>
        <w:rPr>
          <w:sz w:val="20"/>
          <w:szCs w:val="20"/>
          <w:color w:val="auto"/>
        </w:rPr>
      </w:pPr>
    </w:p>
    <w:p>
      <w:pPr>
        <w:jc w:val="center"/>
        <w:ind w:left="460" w:right="420"/>
        <w:spacing w:after="0" w:line="474" w:lineRule="auto"/>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26"/>
          <w:szCs w:val="26"/>
          <w:i w:val="1"/>
          <w:iCs w:val="1"/>
          <w:color w:val="auto"/>
          <w:vertAlign w:val="subscript"/>
        </w:rPr>
        <w:t>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arithmetic average of the Last Reported Sale Prices of the Common Stock on each Trading Day comprised in the Valuation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Any adjustment to the Warrant Exercise Rate under this provision shall be made immediately after the close of business on the last day of the Valuation Period, but shall become effective at the open of business on the Ex-Date for the Spin-Off.</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an adjustment to the Warrant Exercise Rate is made in respect of any distribution of the type described in this provision but such distribution is not so made, the Warrant Exercise Rate shall be readjusted, effective as of the date the of Directors determines not to make such distribution, to the Warrant Exercise Rate that would then be in effect at such time had no such adjustment been made.</w:t>
      </w:r>
    </w:p>
    <w:p>
      <w:pPr>
        <w:spacing w:after="0" w:line="176" w:lineRule="exact"/>
        <w:rPr>
          <w:sz w:val="20"/>
          <w:szCs w:val="20"/>
          <w:color w:val="auto"/>
        </w:rPr>
      </w:pPr>
    </w:p>
    <w:p>
      <w:pPr>
        <w:ind w:left="120" w:right="420" w:firstLine="43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Dividends or Distributions</w:t>
      </w:r>
      <w:r>
        <w:rPr>
          <w:rFonts w:ascii="Times New Roman" w:cs="Times New Roman" w:eastAsia="Times New Roman" w:hAnsi="Times New Roman"/>
          <w:sz w:val="18"/>
          <w:szCs w:val="18"/>
          <w:color w:val="auto"/>
        </w:rPr>
        <w:t>. If any cash dividend or distribution is paid to all or substantially all holders of Common Stock, then the Warrant Exercise Rate shall be increased based on the following formula:</w:t>
      </w:r>
    </w:p>
    <w:p>
      <w:pPr>
        <w:spacing w:after="0" w:line="2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auto"/>
        </w:rPr>
        <w:t>WER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i w:val="1"/>
          <w:iCs w:val="1"/>
          <w:color w:val="auto"/>
        </w:rPr>
        <w:t xml:space="preserve"> = WER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35"/>
          <w:szCs w:val="35"/>
          <w:i w:val="1"/>
          <w:iCs w:val="1"/>
          <w:color w:val="auto"/>
          <w:vertAlign w:val="superscript"/>
        </w:rPr>
        <w:t xml:space="preserve">   SP</w:t>
      </w:r>
      <w:r>
        <w:rPr>
          <w:rFonts w:ascii="Times New Roman" w:cs="Times New Roman" w:eastAsia="Times New Roman" w:hAnsi="Times New Roman"/>
          <w:sz w:val="26"/>
          <w:szCs w:val="26"/>
          <w:u w:val="single" w:color="auto"/>
          <w:color w:val="auto"/>
          <w:vertAlign w:val="superscript"/>
        </w:rPr>
        <w:t>0</w:t>
      </w:r>
      <w:r>
        <w:rPr>
          <w:rFonts w:ascii="Times New Roman" w:cs="Times New Roman" w:eastAsia="Times New Roman" w:hAnsi="Times New Roman"/>
          <w:sz w:val="35"/>
          <w:szCs w:val="35"/>
          <w:i w:val="1"/>
          <w:iCs w:val="1"/>
          <w:color w:val="auto"/>
          <w:vertAlign w:val="super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98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8145" cy="8890"/>
                    </a:xfrm>
                    <a:prstGeom prst="rect">
                      <a:avLst/>
                    </a:prstGeom>
                    <a:noFill/>
                  </pic:spPr>
                </pic:pic>
              </a:graphicData>
            </a:graphic>
          </wp:anchor>
        </w:drawing>
      </w:r>
    </w:p>
    <w:p>
      <w:pPr>
        <w:ind w:left="5740"/>
        <w:spacing w:after="0" w:line="182" w:lineRule="auto"/>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i w:val="1"/>
          <w:iCs w:val="1"/>
          <w:color w:val="auto"/>
        </w:rPr>
        <w:t xml:space="preserve"> – C</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WER</w:t>
      </w:r>
      <w:r>
        <w:rPr>
          <w:rFonts w:ascii="Times New Roman" w:cs="Times New Roman" w:eastAsia="Times New Roman" w:hAnsi="Times New Roman"/>
          <w:sz w:val="26"/>
          <w:szCs w:val="26"/>
          <w:i w:val="1"/>
          <w:iCs w:val="1"/>
          <w:color w:val="auto"/>
          <w:vertAlign w:val="sub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Warrant Exercise Rate in effect at the open of business on the Ex-Date for such dividend or distribution; and</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WER</w:t>
      </w:r>
      <w:r>
        <w:rPr>
          <w:rFonts w:ascii="Times New Roman" w:cs="Times New Roman" w:eastAsia="Times New Roman" w:hAnsi="Times New Roman"/>
          <w:sz w:val="26"/>
          <w:szCs w:val="26"/>
          <w:i w:val="1"/>
          <w:iCs w:val="1"/>
          <w:color w:val="auto"/>
          <w:vertAlign w:val="subscript"/>
        </w:rPr>
        <w:t>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Warrant Exercise Rate in effect immediately prior to the open of business on the Ex-Date for such dividend or distribution;</w:t>
      </w:r>
    </w:p>
    <w:p>
      <w:pPr>
        <w:spacing w:after="0" w:line="133" w:lineRule="exact"/>
        <w:rPr>
          <w:sz w:val="20"/>
          <w:szCs w:val="20"/>
          <w:color w:val="auto"/>
        </w:rPr>
      </w:pPr>
    </w:p>
    <w:p>
      <w:pPr>
        <w:ind w:left="120" w:right="720" w:firstLine="440"/>
        <w:spacing w:after="0" w:line="302" w:lineRule="auto"/>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26"/>
          <w:szCs w:val="26"/>
          <w:i w:val="1"/>
          <w:iCs w:val="1"/>
          <w:color w:val="auto"/>
          <w:vertAlign w:val="subscript"/>
        </w:rPr>
        <w:t>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arithmetic average of the Last Reported Sale Prices of the Common Stock on each Trading Day comprised in the period of 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consecutive Trading Days immediately preceding the Ex-Date for such dividend or distribution;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C </w:t>
      </w:r>
      <w:r>
        <w:rPr>
          <w:rFonts w:ascii="Times New Roman" w:cs="Times New Roman" w:eastAsia="Times New Roman" w:hAnsi="Times New Roman"/>
          <w:sz w:val="18"/>
          <w:szCs w:val="18"/>
          <w:color w:val="auto"/>
        </w:rPr>
        <w:t>= the amount in cash per share the Company distributes to holders of the Common Stock;</w:t>
      </w:r>
    </w:p>
    <w:p>
      <w:pPr>
        <w:spacing w:after="0" w:line="22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Any adjustment to the Warrant Exercise Rate made under this provision shall become effective at the open of business on the Ex-Date for such dividend or distribution. If an adjustment to the Warrant Exercise Rate is made in respect of any dividend or distribution of the type described in this provision but such dividend or distribution is not so paid, the Warrant Exercise Rate shall be readjusted, effective as of the date the Board of Directors determines not to pay such dividend or distribution, to the Warrant Exercise Rate that would then be in effect at such time had no such adjustment been made.</w:t>
      </w:r>
    </w:p>
    <w:p>
      <w:pPr>
        <w:spacing w:after="0" w:line="183" w:lineRule="exact"/>
        <w:rPr>
          <w:sz w:val="20"/>
          <w:szCs w:val="20"/>
          <w:color w:val="auto"/>
        </w:rPr>
      </w:pPr>
    </w:p>
    <w:p>
      <w:pPr>
        <w:ind w:left="120" w:firstLine="436"/>
        <w:spacing w:after="0" w:line="255" w:lineRule="auto"/>
        <w:tabs>
          <w:tab w:leader="none" w:pos="8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If the Company has a shareholder rights plan in effect upon exercise of any Warrant, each share of Common Stock, if any, issued upon such exercise shall be entitled to receive the appropriate number of rights, if any, and the certificates representing the Common Stock issued upon such exercise shall bear such legends, if any, in each case as may be provided by the terms of any such shareholder rights plan, as the same may be amended from time to time. However, if, prior to any exercise, the rights have separated from the shares of Common Stock in accordance with the provisions of the applicable shareholder rights plan so that the holders of Warrants would not be entitled to receive any rights in respect of Common Stock, if any, issuable upon exercise, the Warrant Exercise Rate shall be adjusted at the time of separation as if the Company had made a distribution to all holders of its Common Stock, subject to readjustment in the event of the expiration, termination or redemption of such rights.</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All adjustments to the Warrant Exercise Rate shall be made by the Calculation Agent to the nearest whole multiple of 0.00001 (with 0.000005 being rounded upwards) share of Common Stock.</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the Warrant Agreement or the Warrants, (i) if the provisions of the Warrant Agreement shall require that an adjustment be made to the Warrant Exercise Rate in respect of any distribution or other relevant event, and the shares of Common Stock issuable in respect of any exercise are entitled to participate in such distribution or other relevant event, such adjustment shall not be given effect for the purpose of such exercise of Warrants and (ii) if the Exercise Date in respect of any exercise of Warrants falls after the record date for any Spin-Off and on or before the last day of the relevant Valuation Period, delivery of the shares of Common Stock issuable (or amount of cash payable, as applicable) pursuant to such exercise shall occur as soon as practicable after the last day of such Valuation Period.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adjustments described above shall be made successively whenever an event referred to therein shall occur.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Combinations and Reorganizations</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In the event of a merger, consolidation, amalgamation, statutory share exchange or similar transaction that requires the approval of the Company’s stockholders (a “Business Combination”) or reclassification of Common Stock, other than a reclassification of Common Stock referred to in “Anti-dilution Adjustments” above, the right of a Warrant holder to receive Common Stock upon exercise of a Warrant will be converted into the right to exercise a Warrant to acquire, per each Warrant, the number of shares or other securities or property (including cash) that a number of shares of Common Stock equal to the Warrant Exercise Rate (in effect at the time of such Business Combination or reclassification) immediately prior to such Business Combination or reclassification would have been entitled to receive upon consummation of such Business Combination or reclassification (the amount of such shares, other securities or property in respect of a share of Common Stock being herein referred to as a “Unit of Reference Property”). If the Business Combination causes the Common Stock to be converted into, or exchanged for, the right to receive more than a single type of consideration (determined based in part upon any form of stockholder election), then the composition of the Unit of Reference Property into which the Warrants will be exercisable will be deemed to be the weighted average of the types and amounts of consideration actually received by the holders of Common Stock.</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“Business Day” means each day that is not a Saturday, Sunday or a day on which banking institutions are allowed by law, regulation or executive order to be closed in the State of New York.</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“Last Reported Sale Price” means, with respect to the Common Stock (or other security), on any given day, the last sale price, regular way, or, in case no such sale takes place on such day, the average of the last bid price and last ask price (or, if more than one in either case, the arithmetic average of the average last bid prices and the average last prices), regular way, of the Common Stock (or such other security, as the case may be) as reported in composite transactions for the Exchange on such day, without regard to after-hours or extended market trading,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Common Stock (or such other security, as the case may be) is not listed on the Exchange on any date of determination, the Last Reported Sale Price of the Common Stock (or such other security, as the case may be) on such date of determination means the closing sale price as reported in the composite transactions for the principal U.S. national or regional securities exchange on which the Common Stock (or such other security, as the case may be) is so listed or quoted, or, if no closing sale price is reported, the last reported sale price on the principal U.S. national or regional securities exchange on which the Common Stock (or such other security, as the case may be) is so listed or quoted, or, if the Common Stock (or such other security, as the case may be) is not so listed or quoted on a U.S. national or regional securities exchange, the last quoted bid price for the Common Stock (or such other security, as the case may be) in the over-the-counter market as reported by OTC Markets Group Inc. or a similar organization, or, if that bid price is not available, the Last Reported Sale Price of the Common Stock (or such other security, as the case may be) on that date shall mean the Fair Market Value per share of Common Stock (or such other security, as the case may be) as of such day.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Calculations in respect of the Warrants; Calculation Agent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ConvEx Capital Markets LLC shall be the initial calculation agent. The Calculation Agent will be responsible for making all calculations and other determinations specified to be made by it under this Warrant Agreement and the Warrants, and any calculations and determinations not so specified will be the responsibility of the Company or an independent advisor. All calculations and determinations will be made in good faith and, absent manifest error, such calculations and determinations will be final and binding on holders of the Warrants and the Warrant Agent. The Company will provide with reasonable notice a schedule of the calculations and determinations made by the Company, the Calculation Agent or an independent advisor, as applicable, to the Warrant Agent. The Warrant Agent is entitled to rely conclusively upon the accuracy of the calculations and determinations made by the Company and the Calculation Agent without independent verification. All calculations are subject to rounding as described in the Warrant Agreement.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general discussion based upon present law of certain U.S. federal income tax consequences to U.S. holders (as defined below) of the Warrant Distribution and the ownership and exercise of Warrants received in the Warrant Distribution.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shares of Common Stock receiving Warrants or a beneficial owner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Warrants that is:</w:t>
      </w:r>
    </w:p>
    <w:p>
      <w:pPr>
        <w:spacing w:after="0" w:line="99" w:lineRule="exact"/>
        <w:rPr>
          <w:sz w:val="20"/>
          <w:szCs w:val="20"/>
          <w:color w:val="auto"/>
        </w:rPr>
      </w:pPr>
    </w:p>
    <w:p>
      <w:pPr>
        <w:ind w:left="1200" w:hanging="221"/>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560" w:firstLine="419"/>
        <w:spacing w:after="0" w:line="282" w:lineRule="auto"/>
        <w:tabs>
          <w:tab w:leader="none" w:pos="12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or of a political subdivision thereof (including the District of Columbia);</w:t>
      </w:r>
    </w:p>
    <w:p>
      <w:pPr>
        <w:spacing w:after="0" w:line="53" w:lineRule="exact"/>
        <w:rPr>
          <w:rFonts w:ascii="Times New Roman" w:cs="Times New Roman" w:eastAsia="Times New Roman" w:hAnsi="Times New Roman"/>
          <w:sz w:val="18"/>
          <w:szCs w:val="18"/>
          <w:color w:val="auto"/>
        </w:rPr>
      </w:pPr>
    </w:p>
    <w:p>
      <w:pPr>
        <w:ind w:left="1300" w:hanging="321"/>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560" w:right="120" w:firstLine="419"/>
        <w:spacing w:after="0" w:line="282" w:lineRule="auto"/>
        <w:tabs>
          <w:tab w:leader="none" w:pos="12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is able to exercise primary supervision over the administration of the trust and one or more U.S. persons have the authority to control all substantial decisions of the trust, or (b) it has a valid election in place to be treated as a U.S. person.</w:t>
      </w:r>
    </w:p>
    <w:p>
      <w:pPr>
        <w:spacing w:after="0" w:line="162" w:lineRule="exact"/>
        <w:rPr>
          <w:sz w:val="20"/>
          <w:szCs w:val="20"/>
          <w:color w:val="auto"/>
        </w:rPr>
      </w:pPr>
    </w:p>
    <w:p>
      <w:pPr>
        <w:ind w:left="120" w:right="100" w:firstLine="440"/>
        <w:spacing w:after="0" w:line="270" w:lineRule="auto"/>
        <w:rPr>
          <w:sz w:val="20"/>
          <w:szCs w:val="20"/>
          <w:color w:val="auto"/>
        </w:rPr>
      </w:pPr>
      <w:r>
        <w:rPr>
          <w:rFonts w:ascii="Times New Roman" w:cs="Times New Roman" w:eastAsia="Times New Roman" w:hAnsi="Times New Roman"/>
          <w:sz w:val="17"/>
          <w:szCs w:val="17"/>
          <w:color w:val="auto"/>
        </w:rPr>
        <w:t>This discussion does not address any state, local, or foreign income or other tax consequences, such as the estate and gift tax or the Medicare tax on net investment income, nor does it address all of the tax consequences that may be relevant to any particular shareholder. This discussion also does not address the tax consequences to persons that may be subject to special treatment under U.S. federal income tax law, such as banks, insurance companies, thrift institutions, regulated investment companies, real estate investment trusts, tax-exempt organizations (including private foundations), U.S. expatriates (or former citizens or long-term residents of the United States), persons who acquired their Common Stock pursuant to the exercise of employee stock options or otherwise as compensation, persons subject to the alternative minimum tax, traders in securities that elect to mark to market, dealers in securities or currencies, certain taxpayers who file applicable financial statements required to recognize income when the associated revenue is reflected in such financial statements, persons that hold shares of Common Stock or Warrants as part of a position in a “straddle” or as part of a “hedging,” “conversion,” or other integrated investment transaction for U.S. federal income tax purposes, persons that do not hold shares of Common Stock or Warrants as “capital assets” (generally, property held for investment) or persons that do not use the U.S. dollar as their functional currency.</w:t>
      </w:r>
    </w:p>
    <w:p>
      <w:pPr>
        <w:spacing w:after="0" w:line="17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a partnership (or entity or arrangement treated as a partnership for applicable tax purposes) holds shares of Common Stock or Warrants, the tax treatment of a partner generally will depend upon the status of the partner and upon the activities of the partnership (or entity or arrangement treated as a partnership for applicable tax purposes). A partner, member or other beneficial owner of a partnership (or entity or arrangement treated as a partnership for applicable tax purposes) holding shares of Common Stock or Warrants should consult its own tax advisor regarding the tax consequences of the Warrant Distribution and the ownership and exercise of Warrants received in the Warrant Distribution.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discussion is based on the provisions of the Internal Revenue Code of 1986, as amended (the “Code”), U.S. Department of the Treasury regulations, administrative rulings, and judicial authority, all as in effect as of the date hereof. Subsequent developments in U.S. federal income tax law, including changes in law or differing interpretations, which may be applied retroactively, could have a material effect on the U.S. federal income tax consequences of the Warrant Distribution and the ownership and exercise of Warrants received in the Warrant Distribution. In addition, the Company has not sought, and will not seek, an opinion of counsel or a ruling from the Internal Revenue Service (“IRS”) regarding the U.S. federal income tax consequences of the Warrant Distribution and the ownership and exercise of Warrants received in the Warrant Distribution, and there can be no assurance the IRS will not challenge the statements and conclusions set forth below or that a court would not sustain any such challenge.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 Consequences of the Warrant Distribution</w:t>
      </w:r>
    </w:p>
    <w:p>
      <w:pPr>
        <w:spacing w:after="0" w:line="119"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The Warrant Distribution is intended to be treated as a non-taxable distribution under Section 305(a) of the Code. If, however, the Warrant Distribution were treated as a distribution subject to Section 305(b) of the Code, a U.S. holder’s shares of Common Stock would be treated for U.S. federal income tax purposes as receiving a distribution equal to the fair market value of the Warrants. In such case, the Warrant Distribution would be taxable as a dividend to the extent paid out of our current or accumulated earnings and profits (as determined under U.S. federal income tax principles). The remainder of this discussion assumes that the Warrant Distribution will be treated as a non-taxable distribution under Section 305(a) of the Code.</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 Basis and Holding Period in the Warrants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fair market value of the Warrants received in the Warrant Distribution is less than 15% of the fair market value of a U.S. holder’s shares of Common Stock on the date of the Warrant Distribution, the Warrants received will be allocated a zero tax basis for U.S. federal income tax purposes, unless such U.S. holder elects to allocate tax basis between the existing shares of Common Stock and the Warrants in proportion to their relative fair market values determined on the date of the Warrant Distribution. A U.S. holder that elects to allocate tax basis between such holder’s existing shares of Common Stock and Warrants must make this election on a statement included with such holder’s tax return for the taxable year in which the Warrant Distribution occurs. Such an election is irrevocable. If, however, the fair market value of the Warrants received in the distribution is 15% or more of the fair market value of a U.S. holder’s shares of Common Stock on the date of the Warrant Distribution, such holder’s tax basis in the existing shares of Common Stock must be allocated between the existing shares of Common Stock and the Warrants in proportion to their relative fair market values determined on the date of the Warrant Distribution.</w:t>
      </w:r>
    </w:p>
    <w:p>
      <w:pPr>
        <w:spacing w:after="0" w:line="188"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A U.S. holder’s holding period for the Warrants will include the holding period for the shares of Common Stock with respect to which the Warrants were received.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that a holder is entitled to receive upon exercise of a Warrant and the Exercise Price of the Warrant are subject to certain anti-dilution adjustments. Certain of these adjustments (including adjustments as a result of a distribution to holders of shares of Common Stock) could cause a holder to be deemed to receive a “constructive distribution” that is includible in income for U.S. federal income tax purposes. U.S. holders should consult their tax advisors regarding the possibility of constructive distributions with respect to the Warrants.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Lapse of a Warrant</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the Warrants received in the Warrant Distribution expire while a U.S. Holder owns the shares of Common Stock with respect to which the Warrants were distributed, such U.S. holder generally should not recognize any gain or loss upon that expiration. If a U.S. holder has tax basis in the Warrants and allows the Warrants to expire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while continuing to hold the shares of Common Stock with respect to which the Warrants were distributed, the tax basis of such shares of Common Stock will be restored to the tax basis of such shares of Common Stock immediately before the receipt of the Warrants in the Warrant Distribution. If the Warrants expire after a U.S. holder has disposed of the shares of Common Stock with respect to which the Warrants were distributed, certain aspects of the tax treatment of the expiration are unclear, and such holder should consult its tax advisor regarding its ability to recognize a loss (if any) on the expiration of the Warrants.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Exercise of a Warrant</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U.S. holders should not recognize any gain or loss with respect to a Warrant upon the exercise of the Warrant. In general, shares of Common Stock acquired pursuant to the exercise of a Warrant will have a tax basis equal to the U.S. holder’s tax basis in the Warrant, if any, increased by the price paid to exercise the Warrant. The holding period for the shares of Common Stock received upon exercise of the Warrant will generally begin on the date of exercise of the Warrant.</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at the time of the exercise of a Warrant received in the Warrant Distribution, a U.S. holder no longer holds the shares of Common Stock with respect to which such Warrant was received, certain aspects of the tax treatment of the exercise of the Warrant are unclear, including (1) the allocation of tax basis between the shares of Common Stock previously sold and the Warrant, (2) the impact of such allocation on the amount and timing of gain or loss recognized with respect to the shares of Common Stock previously sold, and (3) the impact of such allocation on the tax basis of shares of Common Stock acquired through the exercise of the Warrant. U.S. holders who exercise Warrants received in the Warrant Distribution after disposing of the shares of Common Stock with respect to which the Warrants were received should consult their tax advisors as to these uncertainties.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or Other Taxable Disposition of a Warrant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gain or loss a U.S. holder realizes on the sale or other taxable disposition of a Warrant generally will be a capital gain or loss, and will be long-term capital gain or loss if the U.S. holder has held the Warrants for more than one year. The amount of a U.S. holder’s gain or loss will equal the difference between the U.S. Holder’s tax basis in the Warrants disposed of and the amount realized on the disposition. For non-corporate taxpayers, including individuals, long-term capital gains are generally eligible for reduced rates of taxation. In addition, certain limitations exist on the deductibility of capital losses.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may apply to dividends paid to a U.S. holder and to the proceeds of the sale or disposition of the Warrants or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 Backup withholding is not an additional tax. Any amounts withheld under backup withholding rules will be allowed as a refund or credit against a U.S. holder’s U.S. federal income tax liability, provided that the required information is timely furnished to the IRS. All U.S. holders should consult their tax advisors regarding the application of information reporting and backup withholding to them.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validity of our Common Stock offered hereby will be passed upon for us by Arnold &amp; Porter Kaye Scholer LLP, 250 West 55th Street, New York, NY 10019-9710.</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Enovix Corporation appearing in its Annual Report (Form 10-K) for the year ended December 29, 2024, and the effectiveness of Enovix Corporation’s internal control over financial reporting as of December 29, 2024 have been audited by Deloitte &amp; Touche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by visiting our website at www.enovix.com. These filings will be available as soon as reasonably practicable after we electronically file such material with, or furnish it to, the SEC. Information and materials contained on our website, except for our SEC filings expressly described below, are not part of this prospectus and are not incorporated by reference into this prospectus.</w:t>
      </w: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 and any accompanying prospectus supplement. We incorporate by reference the documents listed below that we have previously filed with the SEC (excluding any Forms 8-K or portions of any Form 8-K that are not deemed “filed” pursuant to the General Instructions of Form 8-K):</w:t>
      </w:r>
    </w:p>
    <w:p>
      <w:pPr>
        <w:spacing w:after="0" w:line="8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29, 2024, filed on February 25,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30, 2025, filed on May 2,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51">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24, 2025;</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2">
        <w:r>
          <w:rPr>
            <w:rFonts w:ascii="Times New Roman" w:cs="Times New Roman" w:eastAsia="Times New Roman" w:hAnsi="Times New Roman"/>
            <w:sz w:val="18"/>
            <w:szCs w:val="18"/>
            <w:u w:val="single" w:color="auto"/>
            <w:color w:val="0000EE"/>
          </w:rPr>
          <w:t>January 6, 2025</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April 17, 2025</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June 16, 2025</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July 2, 2025</w:t>
        </w:r>
      </w:hyperlink>
      <w:r>
        <w:rPr>
          <w:rFonts w:ascii="Times New Roman" w:cs="Times New Roman" w:eastAsia="Times New Roman" w:hAnsi="Times New Roman"/>
          <w:sz w:val="18"/>
          <w:szCs w:val="18"/>
          <w:color w:val="auto"/>
        </w:rPr>
        <w:t xml:space="preserve">, and </w:t>
      </w:r>
      <w:hyperlink r:id="rId56">
        <w:r>
          <w:rPr>
            <w:rFonts w:ascii="Times New Roman" w:cs="Times New Roman" w:eastAsia="Times New Roman" w:hAnsi="Times New Roman"/>
            <w:sz w:val="18"/>
            <w:szCs w:val="18"/>
            <w:u w:val="single" w:color="auto"/>
            <w:color w:val="0000EE"/>
          </w:rPr>
          <w:t>July 7, 2025</w:t>
        </w:r>
      </w:hyperlink>
      <w:r>
        <w:rPr>
          <w:rFonts w:ascii="Times New Roman" w:cs="Times New Roman" w:eastAsia="Times New Roman" w:hAnsi="Times New Roman"/>
          <w:sz w:val="18"/>
          <w:szCs w:val="18"/>
          <w:color w:val="auto"/>
        </w:rPr>
        <w:t xml:space="preserve"> (as to Item 8.01 only);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contained in a Registration Statement on </w:t>
      </w:r>
      <w:hyperlink r:id="rId5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December 1, 2020 under the Exchange Act, including any amendments or reports filed for the purpose of updating such description, including </w:t>
      </w:r>
      <w:hyperlink r:id="rId58">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Annual Report on </w:t>
      </w:r>
      <w:hyperlink r:id="rId5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January 2, 2022.</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Sections 13(a), 13(c), 14 or 15(d) of the Exchange Act prior to the completion or termination of the offering, but excluding any information deemed furnished and not filed with the SEC. Any statements contained in a previously filed document incorporated by reference into this prospectus are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will provide at no cost to each person who requests, including any beneficial owner, to whom this prospectus is delivered a copy of any document we incorporate by reference, excluding all exhibits to such incorporated documents (unless we have specifically incorporated by reference such exhibits either in this prospectus or in the incorporated document). You may request a copy of these filings by telephoning us at (510) 695-2350 or by writing us at the following address:</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Enovix Corporation</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3501 W Warren Avenue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Fremont, California 94538</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241935</wp:posOffset>
            </wp:positionV>
            <wp:extent cx="2554605" cy="377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255460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Enovix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267335</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offer and sell up to an aggregate amount of $1.0 billion of any combination of the securities described in this prospectus, either individually or in combination, at prices and on terms described in one or more supplements to this prospectus. We may also offer common stock, common stock or preferred stock upon conversion of debt securities, common stock upon conversion of preferred stock, or common stock, preferred stock or debt securities upon exercise of warrants.</w:t>
      </w:r>
    </w:p>
    <w:p>
      <w:pPr>
        <w:spacing w:after="0" w:line="180"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183"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Our common stock is listed on the Nasdaq Global Select Market under the trading symbol “ENVX.” On August 8, 2023, the last reported sale price of our common stock was $17.75 per share. The applicable prospectus supplement will contain information, where applicable, as to other listings, if any, on the Nasdaq Global Select Market or any securities market or other exchange of the securities covered by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137795</wp:posOffset>
            </wp:positionV>
            <wp:extent cx="147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21"/>
          <w:szCs w:val="21"/>
          <w:b w:val="1"/>
          <w:bCs w:val="1"/>
          <w:color w:val="auto"/>
        </w:rPr>
        <w:t>Investing in our securities involves a high degree of risk. You should review carefully the risks and uncertainties described under the section titled “</w:t>
      </w:r>
      <w:r>
        <w:rPr>
          <w:rFonts w:ascii="Times New Roman" w:cs="Times New Roman" w:eastAsia="Times New Roman" w:hAnsi="Times New Roman"/>
          <w:sz w:val="21"/>
          <w:szCs w:val="21"/>
          <w:b w:val="1"/>
          <w:bCs w:val="1"/>
          <w:u w:val="single" w:color="auto"/>
          <w:color w:val="0000EE"/>
        </w:rPr>
        <w:t>Risk Factors</w:t>
      </w:r>
      <w:r>
        <w:rPr>
          <w:rFonts w:ascii="Times New Roman" w:cs="Times New Roman" w:eastAsia="Times New Roman" w:hAnsi="Times New Roman"/>
          <w:sz w:val="21"/>
          <w:szCs w:val="21"/>
          <w:b w:val="1"/>
          <w:b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accompanied by a prospectus supplement.</w:t>
      </w:r>
    </w:p>
    <w:p>
      <w:pPr>
        <w:spacing w:after="0" w:line="22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securities may be sold directly by us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shares of our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spacing w:after="0" w:line="183"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18, 2023.</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67"/>
        </w:trPr>
        <w:tc>
          <w:tcPr>
            <w:tcW w:w="54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304"/>
        </w:trPr>
        <w:tc>
          <w:tcPr>
            <w:tcW w:w="22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3180" w:type="dxa"/>
            <w:vAlign w:val="bottom"/>
            <w:gridSpan w:val="8"/>
          </w:tcPr>
          <w:p>
            <w:pPr>
              <w:spacing w:after="0"/>
              <w:rPr>
                <w:sz w:val="24"/>
                <w:szCs w:val="24"/>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20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320" w:type="dxa"/>
            <w:vAlign w:val="bottom"/>
            <w:gridSpan w:val="9"/>
          </w:tcPr>
          <w:p>
            <w:pPr>
              <w:spacing w:after="0"/>
              <w:rPr>
                <w:sz w:val="24"/>
                <w:szCs w:val="24"/>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304"/>
        </w:trPr>
        <w:tc>
          <w:tcPr>
            <w:tcW w:w="54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15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0"/>
          </w:tcPr>
          <w:p>
            <w:pPr>
              <w:spacing w:after="0"/>
              <w:rPr>
                <w:sz w:val="24"/>
                <w:szCs w:val="24"/>
                <w:color w:val="auto"/>
              </w:rPr>
            </w:pPr>
          </w:p>
        </w:tc>
        <w:tc>
          <w:tcPr>
            <w:tcW w:w="80" w:type="dxa"/>
            <w:vAlign w:val="bottom"/>
          </w:tcPr>
          <w:p>
            <w:pPr>
              <w:spacing w:after="0"/>
              <w:rPr>
                <w:sz w:val="24"/>
                <w:szCs w:val="24"/>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4"/>
        </w:trPr>
        <w:tc>
          <w:tcPr>
            <w:tcW w:w="54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304"/>
        </w:trPr>
        <w:tc>
          <w:tcPr>
            <w:tcW w:w="30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2360" w:type="dxa"/>
            <w:vAlign w:val="bottom"/>
            <w:gridSpan w:val="4"/>
          </w:tcPr>
          <w:p>
            <w:pPr>
              <w:spacing w:after="0"/>
              <w:rPr>
                <w:sz w:val="24"/>
                <w:szCs w:val="24"/>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4"/>
        </w:trPr>
        <w:tc>
          <w:tcPr>
            <w:tcW w:w="24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2920" w:type="dxa"/>
            <w:vAlign w:val="bottom"/>
            <w:gridSpan w:val="7"/>
          </w:tcPr>
          <w:p>
            <w:pPr>
              <w:spacing w:after="0"/>
              <w:rPr>
                <w:sz w:val="24"/>
                <w:szCs w:val="24"/>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30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LEGAL OWNERSHIP OF SECURITIES</w:t>
            </w:r>
          </w:p>
        </w:tc>
        <w:tc>
          <w:tcPr>
            <w:tcW w:w="2380" w:type="dxa"/>
            <w:vAlign w:val="bottom"/>
            <w:gridSpan w:val="5"/>
          </w:tcPr>
          <w:p>
            <w:pPr>
              <w:spacing w:after="0"/>
              <w:rPr>
                <w:sz w:val="24"/>
                <w:szCs w:val="24"/>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54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20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EXPERTS</w:t>
            </w:r>
          </w:p>
        </w:tc>
        <w:tc>
          <w:tcPr>
            <w:tcW w:w="3360" w:type="dxa"/>
            <w:vAlign w:val="bottom"/>
            <w:gridSpan w:val="10"/>
          </w:tcPr>
          <w:p>
            <w:pPr>
              <w:spacing w:after="0"/>
              <w:rPr>
                <w:sz w:val="24"/>
                <w:szCs w:val="24"/>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304"/>
        </w:trPr>
        <w:tc>
          <w:tcPr>
            <w:tcW w:w="54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4400" w:type="dxa"/>
            <w:vAlign w:val="bottom"/>
            <w:gridSpan w:val="11"/>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304"/>
        </w:trPr>
        <w:tc>
          <w:tcPr>
            <w:tcW w:w="54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85"/>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60" w:type="dxa"/>
            <w:vAlign w:val="bottom"/>
          </w:tcPr>
          <w:p>
            <w:pPr>
              <w:jc w:val="right"/>
              <w:ind w:right="5351"/>
              <w:spacing w:after="0"/>
              <w:rPr>
                <w:sz w:val="20"/>
                <w:szCs w:val="20"/>
                <w:color w:val="auto"/>
              </w:rPr>
            </w:pPr>
            <w:r>
              <w:rPr>
                <w:rFonts w:ascii="Times New Roman" w:cs="Times New Roman" w:eastAsia="Times New Roman" w:hAnsi="Times New Roman"/>
                <w:sz w:val="18"/>
                <w:szCs w:val="18"/>
                <w:color w:val="auto"/>
              </w:rPr>
              <w:t>i</w:t>
            </w:r>
          </w:p>
        </w:tc>
      </w:tr>
    </w:tbl>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 “shelf” registration process under the Securities Act of 1933, as amended, or the Securities Act. Under this shelf registration statement, we may, from time to time, offer and sell in one or more offerings common stock and preferred stock, various series of debt securities and/or warrants to purchase any of such securities, either individually or in combination with other securities, in one or more offerings, up to a total dollar amount of $1.0 billion of any combination of the securities described in this prospectus. This prospectus provides you with a general description of the securities we may offer.</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We urge you to read carefully this prospectus, any applicable prospectus supplement and any related free writing prospectuses we have authorized for use in connection with a specific offering, together with the information incorporated herein, or therein by reference as described under the heading “Incorporation of Certain Information by Reference,” before buying any of the securities being offered.</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You must not rely upon any information or representation not contained or incorporated by reference in this prospectus, any accompanying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the date of any sale of securities. Our business, financial condition, results of operations and prospects may have changed since those dates.</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discussed under the section titled “Risk Factors” contained in the applicable prospectus supplement and any related free writing prospectus, and under similar headings in the other documents that are incorporated by reference into this prospectus, the applicable prospectus supplement and any related free writing prospectus. Accordingly, investors should not place undue reliance on this information.</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Throughout this prospectus, we refer to Enovix Corporation as “Enovix”, “us”, “our”, “we” and the “Company.”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consolidated and condensed consolidated financial statements, and the exhibits to the registration statement of which this prospectus is a part.</w:t>
      </w:r>
    </w:p>
    <w:p>
      <w:pPr>
        <w:spacing w:after="0" w:line="29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Enovix Corporation</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Enovix Corporation is on a mission to power the technologies of the future. We do this by designing, developing, manufacturing and commercializing next generation Lithium-ion, or Li-ion, battery cells that significantly increase the amount of energy density and storage capacity relative to conventional battery cells. Our battery’s mechanical design, or “architecture,” allows us to use high performance chemistries while enabling safety and charge time advantages.</w:t>
      </w:r>
    </w:p>
    <w:p>
      <w:pPr>
        <w:spacing w:after="0" w:line="180"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The benefit of an enhanced battery for portable electronics is devices that have more power budget available to keep up with user preferences for more advanced features and more attractive form factors. The benefit of an advanced battery for Electric Vehicles (“EVs”) is a faster charging battery.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Delaware in September 2020 as a blank check company under the name Rodgers Silicon Valley Acquisition Corp. (“RSVAC”).</w:t>
      </w:r>
    </w:p>
    <w:p>
      <w:pPr>
        <w:spacing w:after="0" w:line="162"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On July 14, 2021 (the “Closing Date”), Enovix Corporation, a Delaware corporation (“Legacy Enovix”), RSVAC and RSVAC Merger Sub Inc., a Delaware corporation and wholly owned subsidiary of RSVAC (“Merger Sub”), consummated the closing of the transactions contemplated by the Agreement and Plan of Merger, dated February 22, 2021, by and among RSVAC, Legacy Enovix and Merger Sub (the “Merger Agreement”), following the approval at a special meeting of the stockholders of RSVAC held on July 12, 2021. Pursuant to the terms of the Merger Agreement, a combination of Legacy Enovix and RSVAC was effected through the merger of Merger Sub with and into Legacy Enovix, with Legacy Enovix surviving as a wholly owned subsidiary of RSVAC (together with the other transactions described in the Merger Agreement, the “Business Combination”). On the Closing Date, Legacy Enovix changed its name to Enovix Operations Inc. and RSVAC changed its name to Enovix Corporation. On January 17, 2023, Legacy Enovix merged with and into Enovix Corporation, with the separate existence of Legacy Enovix ceasing and Enovix Corporation being the surviving corporation of such merger. Our principal executive offices are located at 3501 W. Warren Avenue, Fremont, California 94538 and our telephone number is (510) 695-2350. Our corporate website address is www.enovix.com. References to our website address do not constitute incorporation by reference of the information contained on the website, and the information contained on the website is not part of this document.</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right="460" w:firstLine="426"/>
        <w:spacing w:after="0" w:line="282" w:lineRule="auto"/>
        <w:rPr>
          <w:sz w:val="20"/>
          <w:szCs w:val="20"/>
          <w:color w:val="auto"/>
        </w:rPr>
      </w:pPr>
      <w:r>
        <w:rPr>
          <w:rFonts w:ascii="Times New Roman" w:cs="Times New Roman" w:eastAsia="Times New Roman" w:hAnsi="Times New Roman"/>
          <w:sz w:val="18"/>
          <w:szCs w:val="18"/>
          <w:color w:val="auto"/>
        </w:rPr>
        <w:t>We may offer shares of our common stock and preferred stock, various series of debt securities and/or warrants to purchase any of such securities, either individually or in combination with other securities, up to a</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674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total dollar amount of $1.0 billion, from time to time under this prospectus, together with the applicable prospectus supplement and any related free writing prospectus, at prices and on terms to be determined by market conditions at the time of any offering. We may also offer common stock, preferred stock and/or debt securities upon the exercise of warrants. This prospectus provides you with a general description of the securities we may offer. Each time we offer a type of security or series of securities under this prospectus, we will provide a prospectus supplement that will describe the specific amounts, prices and other important terms of the securities, including, to the extent applicable:</w:t>
      </w:r>
    </w:p>
    <w:p>
      <w:pPr>
        <w:spacing w:after="0" w:line="89" w:lineRule="exact"/>
        <w:rPr>
          <w:sz w:val="20"/>
          <w:szCs w:val="20"/>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225"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266" w:lineRule="exact"/>
        <w:rPr>
          <w:sz w:val="20"/>
          <w:szCs w:val="20"/>
          <w:color w:val="auto"/>
        </w:rPr>
      </w:pPr>
    </w:p>
    <w:p>
      <w:pPr>
        <w:ind w:left="300" w:right="40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5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We may issue shares of our common stock from time to time. The holders of our common stock are entitled to one vote for each share held of record on all matters submitted to a vote of stockholders. Subject to preferences that may be applicable to any outstanding shares of preferred stock, the holders of common stock are</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entitled to receive ratably such dividends as may be declared by our board of directors out of legally available funds. Upon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common stock. No shares of our common stock are subject to redemption or have preemptive rights to purchase additional shares of our common stock. In this prospectus, we have summarized certain general features of the common stock under the heading “Description of Capital Stock—Common Stock.” We urge you, however, to read the applicable prospectus supplement (and any related free writing prospectus that we may authorize to be provided to you) related to any common stock being offered.</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Our amended and restated certificate of incorporation provides that our board of directors has the authority, without action by the stockholders, to designate and issue up to 10,000,000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Convertible preferred stock will be convertible into our common stock or exchangeable for other securities. Conversion may be mandatory or at your option and would be at prescribed conversion rates.</w:t>
      </w:r>
    </w:p>
    <w:p>
      <w:pPr>
        <w:spacing w:after="0" w:line="189"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the heading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21" w:lineRule="exact"/>
        <w:rPr>
          <w:sz w:val="20"/>
          <w:szCs w:val="20"/>
          <w:color w:val="auto"/>
        </w:rPr>
      </w:pPr>
    </w:p>
    <w:p>
      <w:pPr>
        <w:ind w:left="300" w:right="180" w:firstLine="426"/>
        <w:spacing w:after="0" w:line="256"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common stock or our other securities. Conversion or exchange may be mandatory or optional (at our option or the holders’ option) and would be at prescribed conversion or exchange prices.</w:t>
      </w:r>
    </w:p>
    <w:p>
      <w:pPr>
        <w:spacing w:after="0" w:line="187"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350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6998970" cy="43503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00"/>
        <w:spacing w:after="0" w:line="282" w:lineRule="auto"/>
        <w:rPr>
          <w:sz w:val="20"/>
          <w:szCs w:val="20"/>
          <w:color w:val="auto"/>
        </w:rPr>
      </w:pPr>
      <w:r>
        <w:rPr>
          <w:rFonts w:ascii="Times New Roman" w:cs="Times New Roman" w:eastAsia="Times New Roman" w:hAnsi="Times New Roman"/>
          <w:sz w:val="18"/>
          <w:szCs w:val="18"/>
          <w:color w:val="auto"/>
        </w:rPr>
        <w:t>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in combination with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94"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general corporate purposes. See “Use of Proceeds” in this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21" w:lineRule="exact"/>
        <w:rPr>
          <w:sz w:val="20"/>
          <w:szCs w:val="20"/>
          <w:color w:val="auto"/>
        </w:rPr>
      </w:pPr>
    </w:p>
    <w:p>
      <w:pPr>
        <w:ind w:left="300" w:right="420" w:firstLine="426"/>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“ENVX.” The applicable prospectus supplement will contain information, where applicable, as to other listings, if any, on the Nasdaq Global Select Market or any other securities market or other exchange of the securities covered by the applicable prospectus supplement.</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section titled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securities to decline, resulting in a loss of all or part of your investment. Please also read carefully the section below titled “Special Note Regarding Forward-Looking Statements.”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as amended, or the Exchange Act. The statements contained in this prospectus or incorporated by reference herein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 our:</w:t>
      </w:r>
    </w:p>
    <w:p>
      <w:pPr>
        <w:spacing w:after="0" w:line="94"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build and scale our advanced silicon-anode lithium-ion battery, our production and commercialization timeline;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312" w:lineRule="auto"/>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meet milestones and deliver on our objectives and expectations, the implementation and success of our products, technologies, business model and growth strategy, various addressable markets, market opportunity and the expansion of our customer base;</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the expectations of new and current customers, our ability to achieve market acceptance for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performance, including revenue, expenses and projections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convert our revenue funnel to purchase orders and revenue;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of equipment orders for our next-generation manufacturing lines, the speed of and space requirements for our next-generation manufacturing lines relative to our existing lines at Fab1 in Fremont;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factory sites and related considerations, including site selection, location and timing of build-out, and benefits thereof;</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hire additional service providers, the strength of our brand, the build-out of additional production lines, our ability to optimize our manufacturing process, our future product development and roadmap and the future demand for our lithium-ion battery solutions;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from offerings of our securities under this prospectus.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described in the section titled “Risk Factors” and elsewhere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required by law.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for working capital and general corporate purposes.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320" w:top="455" w:right="5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description of our capital stock is based on the provisions of our amended and restated certificate of incorporation, or the Certificate of Incorporation, and amended and restated bylaws, or the Bylaws, and the applicable provisions of the Delaware General Corporation Law, or the DGCL. This information is qualified entirely by reference to the applicable provisions of our Certificate of Incorporation and Bylaws. For information on how to obtain copies of our Certificate of Incorporation and Bylaws, which are exhibits to the registration statement of which this prospectus is a part, see the sections titled “Where You Can Find Additional Information” and “Incorporation of Certain Information by Reference” in this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1,000,000,000 shares of common stock, $0.0001 par value per share, and 10,000,000 shares of preferred stock, $0.0001 par value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common stock possess all voting power for the election of our directors and all other matters requiring stockholder action. Holders of common stock are entitled to one vote per share on matters to be voted on by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such dividends, if any, as may be declared from time to time by our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voluntary or involuntary liquidation, dissolution, distribution of assets or winding-up, the holders of the common stock are entitled to receive an equal amount per share of all of our assets of whatever kind available for distribution to stockholders, after the rights of the holders of the preferred stock have been satisfied.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holders of the common stock have no preemptive rights or other subscription rights and there are no sinking fund or redemption provisions applicable to the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one class of directors and each director will generally serve for a term of one year. Unless required by applicable law at the time of election, there is no cumulative voting with respect to the election of directors, with the result that the holders of more than 50% of the shares voted for the election of directors can elect all of the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preferred stock in one or more series, to establish from time to time the number of shares to be included in each series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to fix the designation, powers, preferences and rights of the shares of each series and any of its qualifications, limitations or restrictions. Our board of directors can also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financings, possible acquisitions and other corporate purposes, could, among other things, have the effect of delaying, deferring, discouraging or preventing a change in control of our company, may adversely affect the market price of our common stock and the voting and other rights of the holders of common stock and may reduce the likelihood that common stockholders will receive dividend payments and payments upon liquidation.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July 2, 2023 there were warrants to purchase up to 6,000,000 shares of common stock outstanding, consisting entirely of private placement warrants, or Private Placement Warrants.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Private Placement Warrants were purchased by Rodgers Capital, LLC in connection with the closing of the initial public offering of RSVAC and have terms set forth in a warrant agreement between Computershare Trust Company, N.A., as warrant agent, and us and have since been distributed, to affiliated and unaffiliated holders. This warrant agreement provides that the terms of the warrants may be amended without 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warrant holders.</w:t>
      </w:r>
    </w:p>
    <w:p>
      <w:pPr>
        <w:spacing w:after="0" w:line="183"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Each Private Placement Warrant is exercisable for one share of common stock at an exercise price of $11.50 per share. The Private Placement Warrants are exercisable on a cashless basis and only redeemable by us to the extent that they are no longer held by the initial purchasers or their affiliates. The warrants are exercisable until December 1, 2025.</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redemption criteria for our Private Placement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Private Placement Warrants. In the event that we call for redemption any of the Private Placement Warrants no longer held by the initial purchasers or their affiliates, all such holders that wish to exercise Private Placement Warrants must do so on a “cashless basis.” In such event, each such holder would pay the exercise price by surrendering the Private Placement Warrants for that certain number of shares of common stock equal to the quotient obtained by dividing (x) the product of the number of shares of common stock underlying the Private Placement Warrants, multiplied by the difference between the exercise price of the Private Placement Warrants and the “fair market value” (defined below) by (y) the fair market value. The “fair market value” shall mean the average reported last sale price of our common stock for the 10 trading days ending on the third trading day prior to the date on which the notice of redemption is sent to such holders of Private Placement Warrants.</w:t>
      </w:r>
    </w:p>
    <w:p>
      <w:pPr>
        <w:spacing w:after="0" w:line="194"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exercise price and number of shares of common stock issuable upon exercise of the Private Placement Warrants may be adjusted in certain circumstances including in the event of a share dividend, extraordinary dividend or our recapitalization, reorganization, merger or consolidation. However, the Private Placement Warrants will not be adjusted for issuances of shares of common stock at a price below their respective exercise prices.</w:t>
      </w:r>
    </w:p>
    <w:p>
      <w:pPr>
        <w:spacing w:after="0" w:line="15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Private Placement Warrants may be exercised upon surrender of the warrant certificate on or prior to the expiration date at the offices of the warrant agent, with the exercise form on the reverse side of the warrant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certificate completed and executed as indicated, accompanied by full payment of the exercise price, by certified or official bank check payable to us, for the number of Private Placement Warrants being exercised. The warrant holders do not have the rights or privileges of holders of shares of common stock and any voting rights until they exercise their Private Placement Warrants and receive shares of common stock. After the issuance of shares of common stock upon exercise of the Private Placement Warrants, each holder will be entitled to one vote for each share held of record on all matters to be voted on by stockholders.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Warrant holders may elect to be subject to a restriction on the exercise of their Private Placement Warrants such that an electing warrant holder would not be able to exercise their Private Placement Warrants to the extent that, after giving effect to such exercise, such holder would beneficially own in excess of 9.9% of the shares of common stock outstanding.</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Private Placement Warrants. If, upon exercise of the warrants, a holder would be entitled to receive a fractional interest in a share, we will, upon exercise, round down to the nearest whole number of shares of common stock to be issued to the warrant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Charter Documents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Among other things, our Certificate of Incorporation and Bylaws:</w:t>
      </w:r>
    </w:p>
    <w:p>
      <w:pPr>
        <w:spacing w:after="0" w:line="131" w:lineRule="exact"/>
        <w:rPr>
          <w:sz w:val="20"/>
          <w:szCs w:val="20"/>
          <w:color w:val="auto"/>
        </w:rPr>
      </w:pPr>
    </w:p>
    <w:p>
      <w:pPr>
        <w:ind w:left="1080" w:right="2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be removed only with cause by the holders of at least 66 2/3% of all of our then-outstanding shares of the capital stock entitled to vote generally at an election of directors;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chairperson of our board of directors, our chief executive officer or by our board of directors pursuant to a resolution adopted by a majority of the total number of authorized directors;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amendment of any of these provisions requires approval by the holders of at least 66 2/3% of the voting power of all of our then-outstanding capital stock entitled to vote generally in the election of directors, voting together as a single class.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combination of these provisions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Section 203 of the DGCL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67" w:lineRule="exact"/>
        <w:rPr>
          <w:sz w:val="20"/>
          <w:szCs w:val="20"/>
          <w:color w:val="auto"/>
        </w:rPr>
      </w:pPr>
    </w:p>
    <w:p>
      <w:pPr>
        <w:ind w:left="1080" w:right="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our voting stock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85"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consummation of the transaction, the business combination is approved by our board of directors and authorized at an annual or special meeting of stockholders, and not by written consent, by the affirmative vote of at least 66 2/3% of the outstanding voting stock which is not owned by the interested stockholder.</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An interested stockholder is a person who, together with its affiliates and associates, owns or, within three years prior to the determination of interested stockholder status, did own 20% or more of our outstanding voting stock. These provisions may encourage companies interested in acquiring us to negotiate in advance with our board of directors because the stockholder approval requirement would be avoided if the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 (i) any derivative action or proceeding brought on our behalf; (ii) any action or proceeding asserting a claim of breach of a fiduciary duty owed by any of our directors, officers, or other employees to us or our stockholders; (iii) any action or proceeding asserting a claim against us or any of our directors, officers or other employees arising out of or pursuant to any provision of the DGCL, our Certificate of Incorporation or our Bylaws; (iv) any action or proceeding to interpret, apply, enforce or determine the validity of Certificate of Incorporation or our Bylaws (including any right, obligation, or remedy thereunder);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hanging="4"/>
        <w:spacing w:after="0" w:line="258" w:lineRule="auto"/>
        <w:tabs>
          <w:tab w:leader="none" w:pos="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DGCL confers jurisdiction to the Court of Chancery of the State of Delaware; and (vi) any action or proceeding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This choice of forum provision would not apply to suits brought to enforce a duty or liability created by the Exchange Act or any other claim for which the federal courts have exclusive jurisdiction, or the Securities Act.</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further provides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However,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our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Additionally, our Certificate of Incorporation provides that any person or entity holding, owning or otherwise acquiring any interest in any of our securities shall be deemed to have notice of and consented to these provisions. Investors also cannot waive compliance with the federal securities laws and the rules and regulations thereunder.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“ENVX.”</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is 250 Royall Street, Canton, Massachusetts 02021.</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40"/>
          </w:cols>
          <w:pgMar w:left="320" w:top="455" w:right="5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5540" w:right="140" w:hanging="4884"/>
        <w:spacing w:after="0" w:line="454" w:lineRule="auto"/>
        <w:tabs>
          <w:tab w:leader="none" w:pos="10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15</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5540" w:right="2820" w:hanging="4884"/>
        <w:spacing w:after="0" w:line="454" w:lineRule="auto"/>
        <w:tabs>
          <w:tab w:leader="none" w:pos="10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 17</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320" w:top="455" w:right="5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Delaware, except to the extent that the Trust Indenture Act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force the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right="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 If we so indicate in the applicable prospectus supplement, holders of the warrants may surrender securities as all or part of the exercise price for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00"/>
          </w:cols>
          <w:pgMar w:left="320" w:top="455" w:right="6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applicable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service providers;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67" w:lineRule="exact"/>
        <w:rPr>
          <w:sz w:val="20"/>
          <w:szCs w:val="20"/>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320" w:top="455" w:right="6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direct sales to the public, negotiated transactions, block trades or a combination of these methods. We may sell the securities to or through one or more underwriters or dealers (acting as principal or agent), through agents, or directly to one or more purchasers. We may distribute the securities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85"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agents or other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to purchase additional shares or other options under which underwriters, dealers, agents or other purchasers may purchase additional securities from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Global Select Market or any other securities exchange or quotation or trading service on which such securities may be listed, quoted or traded at the time of sale. Such at the market offerings, if any, may be conducted by underwriters acting as principal or agent.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In such case, we will describe in the prospectus supplement the name of the underwriter, dealer or agent and the nature of any such relationship.</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80"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8"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Any underwriters, dealers or agents that are qualified market makers on the Nasdaq Global Select Market may engage in passive market making transactions in our common stock on the Nasdaq Global Select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Cooley LLP, Palo Alto, California will pass upon the validity of the securities offered by this prospectus and any supplement thereto. As of the date of this prospectus, GC&amp;H Investments, LLC, an entity comprised of partners and associates of Cooley LLP, beneficially owns 20,614 shares of common stock, and a partner of Cooley LLP owns 125,700 shares of Common Stock.</w:t>
      </w:r>
    </w:p>
    <w:p>
      <w:pPr>
        <w:spacing w:after="0" w:line="3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Enovix Corporation and subsidiaries as of January 1, 2023 and January 2, 2022, and for each of the three years in the period ended January 1, 2023, incorporated by reference in this Registration Statement, and the effectiveness of Enovix Corporation’s internal control over financial reporting as of January 1, 2023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www.enovix.com. Information contained on or accessible through our website is not a part of this prospectus and is not incorporated by reference herein, and the inclusion of our website address in this prospectus is an inactive textual reference only.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001-39753):</w:t>
      </w:r>
    </w:p>
    <w:p>
      <w:pPr>
        <w:spacing w:after="0" w:line="93"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0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January 1, 2023, filed with the SEC on March 1,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0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April 2, 2023, filed with the SEC on May 5,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July 2, 2023 filed with the SEC on </w:t>
      </w:r>
      <w:hyperlink r:id="rId106">
        <w:r>
          <w:rPr>
            <w:rFonts w:ascii="Times New Roman" w:cs="Times New Roman" w:eastAsia="Times New Roman" w:hAnsi="Times New Roman"/>
            <w:sz w:val="18"/>
            <w:szCs w:val="18"/>
            <w:u w:val="single" w:color="auto"/>
            <w:color w:val="0000EE"/>
          </w:rPr>
          <w:t>August 9, 2023</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3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 our Annual Report on Form 10-K for the year ended January 1, 2023, from our </w:t>
      </w:r>
      <w:hyperlink r:id="rId107">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relating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our 2023 annual meeting of stockholders, filed with the SEC on April 28, 2023, including the</w:t>
      </w:r>
      <w:r>
        <w:rPr>
          <w:rFonts w:ascii="Times New Roman" w:cs="Times New Roman" w:eastAsia="Times New Roman" w:hAnsi="Times New Roman"/>
          <w:sz w:val="18"/>
          <w:szCs w:val="18"/>
          <w:color w:val="0000EE"/>
        </w:rPr>
        <w:t xml:space="preserve"> </w:t>
      </w:r>
      <w:hyperlink r:id="rId108">
        <w:r>
          <w:rPr>
            <w:rFonts w:ascii="Times New Roman" w:cs="Times New Roman" w:eastAsia="Times New Roman" w:hAnsi="Times New Roman"/>
            <w:sz w:val="18"/>
            <w:szCs w:val="18"/>
            <w:u w:val="single" w:color="auto"/>
            <w:color w:val="0000EE"/>
          </w:rPr>
          <w:t>supplement</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thereto,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June 13, 2023;</w:t>
      </w:r>
    </w:p>
    <w:p>
      <w:pPr>
        <w:spacing w:after="0" w:line="81" w:lineRule="exact"/>
        <w:rPr>
          <w:rFonts w:ascii="Times New Roman" w:cs="Times New Roman" w:eastAsia="Times New Roman" w:hAnsi="Times New Roman"/>
          <w:sz w:val="18"/>
          <w:szCs w:val="18"/>
          <w:color w:val="0000EE"/>
        </w:rPr>
      </w:pPr>
    </w:p>
    <w:p>
      <w:pPr>
        <w:ind w:left="1080" w:right="160" w:hanging="424"/>
        <w:spacing w:after="0" w:line="266" w:lineRule="auto"/>
        <w:tabs>
          <w:tab w:leader="none" w:pos="1080" w:val="left"/>
        </w:tabs>
        <w:numPr>
          <w:ilvl w:val="0"/>
          <w:numId w:val="36"/>
        </w:numPr>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December 29, 2022</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January 18,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5,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w:t>
        </w:r>
      </w:hyperlink>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EE"/>
          </w:rPr>
          <w:t>20, 2023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0">
        <w:r>
          <w:rPr>
            <w:rFonts w:ascii="Times New Roman" w:cs="Times New Roman" w:eastAsia="Times New Roman" w:hAnsi="Times New Roman"/>
            <w:sz w:val="18"/>
            <w:szCs w:val="18"/>
            <w:u w:val="single" w:color="auto"/>
            <w:color w:val="0000EE"/>
          </w:rPr>
          <w:t>January 23, 2023</w:t>
        </w:r>
      </w:hyperlink>
      <w:hyperlink r:id="rId10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1">
        <w:r>
          <w:rPr>
            <w:rFonts w:ascii="Times New Roman" w:cs="Times New Roman" w:eastAsia="Times New Roman" w:hAnsi="Times New Roman"/>
            <w:sz w:val="18"/>
            <w:szCs w:val="18"/>
            <w:u w:val="single" w:color="auto"/>
            <w:color w:val="0000EE"/>
          </w:rPr>
          <w:t>January 25, 2023</w:t>
        </w:r>
      </w:hyperlink>
      <w:hyperlink r:id="rId10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2">
        <w:r>
          <w:rPr>
            <w:rFonts w:ascii="Times New Roman" w:cs="Times New Roman" w:eastAsia="Times New Roman" w:hAnsi="Times New Roman"/>
            <w:sz w:val="18"/>
            <w:szCs w:val="18"/>
            <w:u w:val="single" w:color="auto"/>
            <w:color w:val="0000EE"/>
          </w:rPr>
          <w:t>April 21, 2023</w:t>
        </w:r>
      </w:hyperlink>
      <w:hyperlink r:id="rId10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3">
        <w:r>
          <w:rPr>
            <w:rFonts w:ascii="Times New Roman" w:cs="Times New Roman" w:eastAsia="Times New Roman" w:hAnsi="Times New Roman"/>
            <w:sz w:val="18"/>
            <w:szCs w:val="18"/>
            <w:u w:val="single" w:color="auto"/>
            <w:color w:val="0000EE"/>
          </w:rPr>
          <w:t>April 26, 2023</w:t>
        </w:r>
      </w:hyperlink>
      <w:hyperlink r:id="rId10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4">
        <w:r>
          <w:rPr>
            <w:rFonts w:ascii="Times New Roman" w:cs="Times New Roman" w:eastAsia="Times New Roman" w:hAnsi="Times New Roman"/>
            <w:sz w:val="18"/>
            <w:szCs w:val="18"/>
            <w:u w:val="single" w:color="auto"/>
            <w:color w:val="0000EE"/>
          </w:rPr>
          <w:t>June 20, 2023</w:t>
        </w:r>
      </w:hyperlink>
      <w:hyperlink r:id="rId10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5">
        <w:r>
          <w:rPr>
            <w:rFonts w:ascii="Times New Roman" w:cs="Times New Roman" w:eastAsia="Times New Roman" w:hAnsi="Times New Roman"/>
            <w:sz w:val="18"/>
            <w:szCs w:val="18"/>
            <w:u w:val="single" w:color="auto"/>
            <w:color w:val="0000EE"/>
          </w:rPr>
          <w:t>June 26, 2023</w:t>
        </w:r>
      </w:hyperlink>
      <w:hyperlink r:id="rId10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6">
        <w:r>
          <w:rPr>
            <w:rFonts w:ascii="Times New Roman" w:cs="Times New Roman" w:eastAsia="Times New Roman" w:hAnsi="Times New Roman"/>
            <w:sz w:val="18"/>
            <w:szCs w:val="18"/>
            <w:u w:val="single" w:color="auto"/>
            <w:color w:val="0000EE"/>
          </w:rPr>
          <w:t>June 29, 2023</w:t>
        </w:r>
      </w:hyperlink>
      <w:hyperlink r:id="rId109">
        <w:r>
          <w:rPr>
            <w:rFonts w:ascii="Times New Roman" w:cs="Times New Roman" w:eastAsia="Times New Roman" w:hAnsi="Times New Roman"/>
            <w:sz w:val="18"/>
            <w:szCs w:val="18"/>
            <w:color w:val="000000"/>
          </w:rPr>
          <w:t>, and</w:t>
        </w:r>
      </w:hyperlink>
      <w:r>
        <w:rPr>
          <w:rFonts w:ascii="Times New Roman" w:cs="Times New Roman" w:eastAsia="Times New Roman" w:hAnsi="Times New Roman"/>
          <w:sz w:val="18"/>
          <w:szCs w:val="18"/>
          <w:color w:val="0000EE"/>
        </w:rPr>
        <w:t xml:space="preserve"> </w:t>
      </w:r>
      <w:hyperlink r:id="rId117">
        <w:r>
          <w:rPr>
            <w:rFonts w:ascii="Times New Roman" w:cs="Times New Roman" w:eastAsia="Times New Roman" w:hAnsi="Times New Roman"/>
            <w:sz w:val="18"/>
            <w:szCs w:val="18"/>
            <w:u w:val="single" w:color="auto"/>
            <w:color w:val="0000EE"/>
          </w:rPr>
          <w:t>July 26,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81" w:lineRule="exact"/>
        <w:rPr>
          <w:rFonts w:ascii="Times New Roman" w:cs="Times New Roman" w:eastAsia="Times New Roman" w:hAnsi="Times New Roman"/>
          <w:sz w:val="18"/>
          <w:szCs w:val="18"/>
          <w:color w:val="0000EE"/>
        </w:rPr>
      </w:pPr>
    </w:p>
    <w:p>
      <w:pPr>
        <w:ind w:left="1080" w:right="30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contained in a Registration Statement on </w:t>
      </w:r>
      <w:hyperlink r:id="rId5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December 1, 2020 under the Exchange Act, including any amendments or reports filed for the purpose of updating such description, including </w:t>
      </w:r>
      <w:hyperlink r:id="rId58">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fiscal year ended January 2, 2022.</w:t>
      </w:r>
    </w:p>
    <w:p>
      <w:pPr>
        <w:spacing w:after="0" w:line="176" w:lineRule="exact"/>
        <w:rPr>
          <w:rFonts w:ascii="Times New Roman" w:cs="Times New Roman" w:eastAsia="Times New Roman" w:hAnsi="Times New Roman"/>
          <w:sz w:val="18"/>
          <w:szCs w:val="18"/>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Enovix Corporation</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3501 W. Warren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Fremont, California 94538</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695-2350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652780</wp:posOffset>
            </wp:positionV>
            <wp:extent cx="2554605" cy="3771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2554605" cy="37719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1155700</wp:posOffset>
            </wp:positionV>
            <wp:extent cx="1474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July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1007745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1076325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510"/>
    </w:lvl>
  </w:abstractNum>
  <w:abstractNum w:abstractNumId="2">
    <w:nsid w:val="62BBD95A"/>
    <w:multiLevelType w:val="hybridMultilevel"/>
    <w:lvl w:ilvl="0">
      <w:lvlJc w:val="left"/>
      <w:lvlText w:val="(%1)"/>
      <w:numFmt w:val="lowerLetter"/>
      <w:start w:val="1"/>
    </w:lvl>
  </w:abstractNum>
  <w:abstractNum w:abstractNumId="3">
    <w:nsid w:val="436C6125"/>
    <w:multiLevelType w:val="hybridMultilevel"/>
    <w:lvl w:ilvl="0">
      <w:lvlJc w:val="left"/>
      <w:lvlText w:val="(%1)"/>
      <w:numFmt w:val="lowerLetter"/>
      <w:start w:val="2"/>
    </w:lvl>
  </w:abstractNum>
  <w:abstractNum w:abstractNumId="4">
    <w:nsid w:val="628C895D"/>
    <w:multiLevelType w:val="hybridMultilevel"/>
    <w:lvl w:ilvl="0">
      <w:lvlJc w:val="left"/>
      <w:lvlText w:val="(%1)"/>
      <w:numFmt w:val="lowerLetter"/>
      <w:start w:val="3"/>
    </w:lvl>
  </w:abstractNum>
  <w:abstractNum w:abstractNumId="5">
    <w:nsid w:val="333AB105"/>
    <w:multiLevelType w:val="hybridMultilevel"/>
    <w:lvl w:ilvl="0">
      <w:lvlJc w:val="left"/>
      <w:lvlText w:val="(%1)"/>
      <w:numFmt w:val="lowerRoman"/>
      <w:start w:val="1"/>
    </w:lvl>
    <w:lvl w:ilvl="1">
      <w:lvlJc w:val="left"/>
      <w:lvlText w:val="(%2)"/>
      <w:numFmt w:val="decimal"/>
      <w:start w:val="1"/>
    </w:lvl>
  </w:abstractNum>
  <w:abstractNum w:abstractNumId="6">
    <w:nsid w:val="721DA317"/>
    <w:multiLevelType w:val="hybridMultilevel"/>
    <w:lvl w:ilvl="0">
      <w:lvlJc w:val="left"/>
      <w:lvlText w:val="(%1)"/>
      <w:numFmt w:val="lowerRoman"/>
      <w:start w:val="2"/>
    </w:lvl>
  </w:abstractNum>
  <w:abstractNum w:abstractNumId="7">
    <w:nsid w:val="2443A858"/>
    <w:multiLevelType w:val="hybridMultilevel"/>
    <w:lvl w:ilvl="0">
      <w:lvlJc w:val="left"/>
      <w:lvlText w:val="(%1)"/>
      <w:numFmt w:val="lowerLetter"/>
      <w:start w:val="4"/>
    </w:lvl>
  </w:abstractNum>
  <w:abstractNum w:abstractNumId="8">
    <w:nsid w:val="2D1D5AE9"/>
    <w:multiLevelType w:val="hybridMultilevel"/>
    <w:lvl w:ilvl="0">
      <w:lvlJc w:val="left"/>
      <w:lvlText w:val="(%1)"/>
      <w:numFmt w:val="lowerLetter"/>
      <w:start w:val="5"/>
    </w:lvl>
  </w:abstractNum>
  <w:abstractNum w:abstractNumId="9">
    <w:nsid w:val="6763845E"/>
    <w:multiLevelType w:val="hybridMultilevel"/>
    <w:lvl w:ilvl="0">
      <w:lvlJc w:val="left"/>
      <w:lvlText w:val="(%1)"/>
      <w:numFmt w:val="lowerRoman"/>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lowerRoman"/>
      <w:start w:val="5"/>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1)"/>
      <w:numFmt w:val="decimal"/>
      <w:start w:val="5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jpe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jpe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49" Type="http://schemas.openxmlformats.org/officeDocument/2006/relationships/hyperlink" Target="http://www.sec.gov/ix?doc=/Archives/edgar/data/1828318/000182831825000057/envx-20241229.htm" TargetMode="External"/><Relationship Id="rId50" Type="http://schemas.openxmlformats.org/officeDocument/2006/relationships/hyperlink" Target="http://www.sec.gov/ix?doc=/Archives/edgar/data/1828318/000182831825000148/envx-20250330.htm" TargetMode="External"/><Relationship Id="rId51" Type="http://schemas.openxmlformats.org/officeDocument/2006/relationships/hyperlink" Target="http://www.sec.gov/ix?doc=/Archives/edgar/data/1828318/000182831825000131/envx-20250424.htm" TargetMode="External"/><Relationship Id="rId52" Type="http://schemas.openxmlformats.org/officeDocument/2006/relationships/hyperlink" Target="http://www.sec.gov/ix?doc=/Archives/edgar/data/1828318/000182831825000003/envx-20241230.htm" TargetMode="External"/><Relationship Id="rId53" Type="http://schemas.openxmlformats.org/officeDocument/2006/relationships/hyperlink" Target="http://www.sec.gov/ix?doc=/Archives/edgar/data/1828318/000182831825000115/envx-20250417.htm" TargetMode="External"/><Relationship Id="rId54" Type="http://schemas.openxmlformats.org/officeDocument/2006/relationships/hyperlink" Target="http://www.sec.gov/ix?doc=/Archives/edgar/data/1828318/000182831825000209/envx-20250612.htm" TargetMode="External"/><Relationship Id="rId55" Type="http://schemas.openxmlformats.org/officeDocument/2006/relationships/hyperlink" Target="http://www.sec.gov/ix?doc=/Archives/edgar/data/1828318/000182831825000220/envx-20250702.htm" TargetMode="External"/><Relationship Id="rId56" Type="http://schemas.openxmlformats.org/officeDocument/2006/relationships/hyperlink" Target="http://www.sec.gov/ix?doc=/Archives/edgar/data/1828318/000182831825000225/envx-20250707.htm" TargetMode="External"/><Relationship Id="rId57" Type="http://schemas.openxmlformats.org/officeDocument/2006/relationships/hyperlink" Target="http://www.sec.gov/Archives/edgar/data/1828318/000110465920130915/tm2033307d5_8a12b.htm" TargetMode="External"/><Relationship Id="rId58" Type="http://schemas.openxmlformats.org/officeDocument/2006/relationships/hyperlink" Target="http://www.sec.gov/Archives/edgar/data/1828318/000095017022004614/envx-ex4_4.htm" TargetMode="External"/><Relationship Id="rId59" Type="http://schemas.openxmlformats.org/officeDocument/2006/relationships/hyperlink" Target="http://www.sec.gov/ix?doc=/Archives/edgar/data/1828318/000095017022004614/envx-20220102.htm" TargetMode="External"/><Relationship Id="rId104" Type="http://schemas.openxmlformats.org/officeDocument/2006/relationships/hyperlink" Target="http://www.sec.gov/ix?doc=/Archives/edgar/data/1828318/000182831823000071/envx-20230101.htm" TargetMode="External"/><Relationship Id="rId105" Type="http://schemas.openxmlformats.org/officeDocument/2006/relationships/hyperlink" Target="http://www.sec.gov/ix?doc=/Archives/edgar/data/1828318/000162828023016122/envx-20230402.htm" TargetMode="External"/><Relationship Id="rId106" Type="http://schemas.openxmlformats.org/officeDocument/2006/relationships/hyperlink" Target="http://www.sec.gov/ix?doc=/Archives/edgar/data/1828318/000182831823000168/envx-20230702.htm" TargetMode="External"/><Relationship Id="rId107" Type="http://schemas.openxmlformats.org/officeDocument/2006/relationships/hyperlink" Target="http://www.sec.gov/ix?doc=/Archives/edgar/data/1828318/000162828023014244/envx-20230428.htm" TargetMode="External"/><Relationship Id="rId108" Type="http://schemas.openxmlformats.org/officeDocument/2006/relationships/hyperlink" Target="http://www.sec.gov/Archives/edgar/data/1828318/000119312523165546/d815741ddefa14a.htm" TargetMode="External"/><Relationship Id="rId109" Type="http://schemas.openxmlformats.org/officeDocument/2006/relationships/hyperlink" Target="http://www.sec.gov/ix?doc=/Archives/edgar/data/1828318/000119312523012080/d419089d8k.htm" TargetMode="External"/><Relationship Id="rId110" Type="http://schemas.openxmlformats.org/officeDocument/2006/relationships/hyperlink" Target="http://www.sec.gov/ix?doc=/Archives/edgar/data/1828318/000182831823000020/envx-20230117.htm" TargetMode="External"/><Relationship Id="rId111" Type="http://schemas.openxmlformats.org/officeDocument/2006/relationships/hyperlink" Target="http://www.sec.gov/ix?doc=/Archives/edgar/data/1828318/000182831823000026/envx-20230124.htm" TargetMode="External"/><Relationship Id="rId112" Type="http://schemas.openxmlformats.org/officeDocument/2006/relationships/hyperlink" Target="http://www.sec.gov/ix?doc=/Archives/edgar/data/1828318/000162828023012433/envx-20230417.htm" TargetMode="External"/><Relationship Id="rId113" Type="http://schemas.openxmlformats.org/officeDocument/2006/relationships/hyperlink" Target="http://www.sec.gov/ix?doc=/Archives/edgar/data/1828318/000162828023013227/envx-20230426.htm" TargetMode="External"/><Relationship Id="rId114" Type="http://schemas.openxmlformats.org/officeDocument/2006/relationships/hyperlink" Target="http://www.sec.gov/ix?doc=/Archives/edgar/data/1828318/000182831823000115/envx-20230615.htm" TargetMode="External"/><Relationship Id="rId115" Type="http://schemas.openxmlformats.org/officeDocument/2006/relationships/hyperlink" Target="http://www.sec.gov/ix?doc=/Archives/edgar/data/1828318/000119312523174501/d460970d8k.htm" TargetMode="External"/><Relationship Id="rId116" Type="http://schemas.openxmlformats.org/officeDocument/2006/relationships/hyperlink" Target="http://www.sec.gov/ix?doc=/Archives/edgar/data/1828318/000119312523178590/d512762d8k.htm" TargetMode="External"/><Relationship Id="rId117" Type="http://schemas.openxmlformats.org/officeDocument/2006/relationships/hyperlink" Target="http://www.sec.gov/ix?doc=/Archives/edgar/data/1828318/000182831823000158/envx-202307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2025-07-21T15:05:01Z</dcterms:created>
  <dcterms:modified xsi:type="dcterms:W3CDTF">2025-07-21T15:05:01Z</dcterms:modified>
</cp:coreProperties>
</file>