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627433.xml.htm"/>
      <w:bookmarkStart w:id="1" w:name="kswkform4_17906274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Chakravarthy Arthi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ENOVIX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3501 W. WARREN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Enovix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93"/>
        <w:gridCol w:w="459"/>
        <w:gridCol w:w="673"/>
        <w:gridCol w:w="1202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2.96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586,882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withholding of shares of the Issuer's common stock to satisfy tax withholding obligations in connection with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341,435 shares issuable upon the vesting and settlement of RSUs granted to the Reporting Person, as well as: (i) 10,393 vested performance restricted stock units ("PRSUs"), which will be released to the Reporting Person in March 2027, and (ii) an aggregate of 58,500 PRSUs, 50% of which will be released in April 2027, with the remainder to be released in April 2028. Each PRSU represents a contingent right to receive one share of the Issuer's common stock upon settlement.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Arthi Chakravarthy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5015" TargetMode="External"/><Relationship Id="rId5" Type="http://schemas.openxmlformats.org/officeDocument/2006/relationships/hyperlink" Target="http://www.sec.gov/cgi-bin/browse-edgar?action=getcompany&amp;CIK=0001828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671</Words>
  <Characters>3635</Characters>
  <CharactersWithSpaces>4236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