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283210</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2538095</wp:posOffset>
            </wp:positionH>
            <wp:positionV relativeFrom="paragraph">
              <wp:posOffset>61595</wp:posOffset>
            </wp:positionV>
            <wp:extent cx="209740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2538095</wp:posOffset>
            </wp:positionH>
            <wp:positionV relativeFrom="paragraph">
              <wp:posOffset>53340</wp:posOffset>
            </wp:positionV>
            <wp:extent cx="209740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12529"/>
        </w:rPr>
        <w:t>CURRENT REPORT</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12529"/>
        </w:rPr>
        <w:t>Pursuant to Section 13 or 15(d) of the Securities Exchange Act of 1934</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12529"/>
        </w:rPr>
        <w:t>Date of Report (Date of earliest event reported): September 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3081020</wp:posOffset>
            </wp:positionH>
            <wp:positionV relativeFrom="paragraph">
              <wp:posOffset>47625</wp:posOffset>
            </wp:positionV>
            <wp:extent cx="10058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5840" cy="571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212529"/>
        </w:rPr>
        <w:t>Enovix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3332480</wp:posOffset>
            </wp:positionH>
            <wp:positionV relativeFrom="paragraph">
              <wp:posOffset>49530</wp:posOffset>
            </wp:positionV>
            <wp:extent cx="502920" cy="108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2920" cy="108585"/>
                    </a:xfrm>
                    <a:prstGeom prst="rect">
                      <a:avLst/>
                    </a:prstGeom>
                    <a:noFill/>
                  </pic:spPr>
                </pic:pic>
              </a:graphicData>
            </a:graphic>
          </wp:anchor>
        </w:drawing>
      </w:r>
    </w:p>
    <w:p>
      <w:pPr>
        <w:spacing w:after="0" w:line="344" w:lineRule="exact"/>
        <w:rPr>
          <w:sz w:val="24"/>
          <w:szCs w:val="24"/>
          <w:color w:val="auto"/>
        </w:rPr>
      </w:pPr>
    </w:p>
    <w:tbl>
      <w:tblPr>
        <w:tblLayout w:type="fixed"/>
        <w:tblInd w:w="0" w:type="dxa"/>
        <w:tblCellMar>
          <w:top w:w="0" w:type="dxa"/>
          <w:left w:w="0" w:type="dxa"/>
          <w:bottom w:w="0" w:type="dxa"/>
          <w:right w:w="0" w:type="dxa"/>
        </w:tblCellMar>
      </w:tblPr>
      <w:tr>
        <w:trPr>
          <w:trHeight w:val="118"/>
        </w:trPr>
        <w:tc>
          <w:tcPr>
            <w:tcW w:w="8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20" w:type="dxa"/>
            <w:vAlign w:val="bottom"/>
            <w:gridSpan w:val="5"/>
          </w:tcPr>
          <w:p>
            <w:pPr>
              <w:jc w:val="center"/>
              <w:ind w:right="100"/>
              <w:spacing w:after="0"/>
              <w:rPr>
                <w:sz w:val="20"/>
                <w:szCs w:val="20"/>
                <w:color w:val="auto"/>
              </w:rPr>
            </w:pPr>
            <w:r>
              <w:rPr>
                <w:rFonts w:ascii="Times New Roman" w:cs="Times New Roman" w:eastAsia="Times New Roman" w:hAnsi="Times New Roman"/>
                <w:sz w:val="9"/>
                <w:szCs w:val="9"/>
                <w:b w:val="1"/>
                <w:bCs w:val="1"/>
                <w:color w:val="212529"/>
                <w:w w:val="99"/>
              </w:rPr>
              <w:t>(Exact Name of Registrant as Specified in Its Charter)</w:t>
            </w:r>
          </w:p>
        </w:tc>
        <w:tc>
          <w:tcPr>
            <w:tcW w:w="39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46"/>
        </w:trPr>
        <w:tc>
          <w:tcPr>
            <w:tcW w:w="80" w:type="dxa"/>
            <w:vAlign w:val="bottom"/>
          </w:tcPr>
          <w:p>
            <w:pPr>
              <w:spacing w:after="0"/>
              <w:rPr>
                <w:sz w:val="4"/>
                <w:szCs w:val="4"/>
                <w:color w:val="auto"/>
              </w:rPr>
            </w:pPr>
          </w:p>
        </w:tc>
        <w:tc>
          <w:tcPr>
            <w:tcW w:w="39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9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0"/>
        </w:trPr>
        <w:tc>
          <w:tcPr>
            <w:tcW w:w="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80" w:type="dxa"/>
            <w:vAlign w:val="bottom"/>
          </w:tcPr>
          <w:p>
            <w:pPr>
              <w:spacing w:after="0"/>
              <w:rPr>
                <w:sz w:val="24"/>
                <w:szCs w:val="24"/>
                <w:color w:val="auto"/>
              </w:rPr>
            </w:pPr>
          </w:p>
        </w:tc>
        <w:tc>
          <w:tcPr>
            <w:tcW w:w="3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001-39753</w:t>
            </w: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85-3174357</w:t>
            </w:r>
          </w:p>
        </w:tc>
        <w:tc>
          <w:tcPr>
            <w:tcW w:w="80" w:type="dxa"/>
            <w:vAlign w:val="bottom"/>
            <w:tcBorders>
              <w:bottom w:val="single" w:sz="8" w:color="auto"/>
            </w:tcBorders>
          </w:tcPr>
          <w:p>
            <w:pPr>
              <w:spacing w:after="0"/>
              <w:rPr>
                <w:sz w:val="24"/>
                <w:szCs w:val="24"/>
                <w:color w:val="auto"/>
              </w:rPr>
            </w:pPr>
          </w:p>
        </w:tc>
      </w:tr>
      <w:tr>
        <w:trPr>
          <w:trHeight w:val="145"/>
        </w:trPr>
        <w:tc>
          <w:tcPr>
            <w:tcW w:w="80" w:type="dxa"/>
            <w:vAlign w:val="bottom"/>
          </w:tcPr>
          <w:p>
            <w:pPr>
              <w:spacing w:after="0"/>
              <w:rPr>
                <w:sz w:val="12"/>
                <w:szCs w:val="12"/>
                <w:color w:val="auto"/>
              </w:rPr>
            </w:pPr>
          </w:p>
        </w:tc>
        <w:tc>
          <w:tcPr>
            <w:tcW w:w="39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(State or Other Jurisdiction</w:t>
            </w:r>
          </w:p>
        </w:tc>
        <w:tc>
          <w:tcPr>
            <w:tcW w:w="80" w:type="dxa"/>
            <w:vAlign w:val="bottom"/>
          </w:tcPr>
          <w:p>
            <w:pPr>
              <w:spacing w:after="0"/>
              <w:rPr>
                <w:sz w:val="12"/>
                <w:szCs w:val="12"/>
                <w:color w:val="auto"/>
              </w:rPr>
            </w:pPr>
          </w:p>
        </w:tc>
        <w:tc>
          <w:tcPr>
            <w:tcW w:w="3220" w:type="dxa"/>
            <w:vAlign w:val="bottom"/>
            <w:gridSpan w:val="5"/>
          </w:tcPr>
          <w:p>
            <w:pPr>
              <w:jc w:val="center"/>
              <w:ind w:right="100"/>
              <w:spacing w:after="0"/>
              <w:rPr>
                <w:sz w:val="20"/>
                <w:szCs w:val="20"/>
                <w:color w:val="auto"/>
              </w:rPr>
            </w:pPr>
            <w:r>
              <w:rPr>
                <w:rFonts w:ascii="Times New Roman" w:cs="Times New Roman" w:eastAsia="Times New Roman" w:hAnsi="Times New Roman"/>
                <w:sz w:val="12"/>
                <w:szCs w:val="12"/>
                <w:color w:val="auto"/>
                <w:w w:val="98"/>
              </w:rPr>
              <w:t>(Commission</w:t>
            </w:r>
          </w:p>
        </w:tc>
        <w:tc>
          <w:tcPr>
            <w:tcW w:w="40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8"/>
              </w:rPr>
              <w:t>(IRS Employer</w:t>
            </w:r>
          </w:p>
        </w:tc>
      </w:tr>
      <w:tr>
        <w:trPr>
          <w:trHeight w:val="155"/>
        </w:trPr>
        <w:tc>
          <w:tcPr>
            <w:tcW w:w="80" w:type="dxa"/>
            <w:vAlign w:val="bottom"/>
          </w:tcPr>
          <w:p>
            <w:pPr>
              <w:spacing w:after="0"/>
              <w:rPr>
                <w:sz w:val="13"/>
                <w:szCs w:val="13"/>
                <w:color w:val="auto"/>
              </w:rPr>
            </w:pPr>
          </w:p>
        </w:tc>
        <w:tc>
          <w:tcPr>
            <w:tcW w:w="39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of Incorporation)</w:t>
            </w:r>
          </w:p>
        </w:tc>
        <w:tc>
          <w:tcPr>
            <w:tcW w:w="80" w:type="dxa"/>
            <w:vAlign w:val="bottom"/>
          </w:tcPr>
          <w:p>
            <w:pPr>
              <w:spacing w:after="0"/>
              <w:rPr>
                <w:sz w:val="13"/>
                <w:szCs w:val="13"/>
                <w:color w:val="auto"/>
              </w:rPr>
            </w:pPr>
          </w:p>
        </w:tc>
        <w:tc>
          <w:tcPr>
            <w:tcW w:w="3220" w:type="dxa"/>
            <w:vAlign w:val="bottom"/>
            <w:gridSpan w:val="5"/>
          </w:tcPr>
          <w:p>
            <w:pPr>
              <w:jc w:val="center"/>
              <w:ind w:right="100"/>
              <w:spacing w:after="0"/>
              <w:rPr>
                <w:sz w:val="20"/>
                <w:szCs w:val="20"/>
                <w:color w:val="auto"/>
              </w:rPr>
            </w:pPr>
            <w:r>
              <w:rPr>
                <w:rFonts w:ascii="Times New Roman" w:cs="Times New Roman" w:eastAsia="Times New Roman" w:hAnsi="Times New Roman"/>
                <w:sz w:val="12"/>
                <w:szCs w:val="12"/>
                <w:color w:val="auto"/>
                <w:w w:val="98"/>
              </w:rPr>
              <w:t>File Number)</w:t>
            </w:r>
          </w:p>
        </w:tc>
        <w:tc>
          <w:tcPr>
            <w:tcW w:w="400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46"/>
        </w:trPr>
        <w:tc>
          <w:tcPr>
            <w:tcW w:w="80" w:type="dxa"/>
            <w:vAlign w:val="bottom"/>
          </w:tcPr>
          <w:p>
            <w:pPr>
              <w:spacing w:after="0"/>
              <w:rPr>
                <w:sz w:val="21"/>
                <w:szCs w:val="21"/>
                <w:color w:val="auto"/>
              </w:rPr>
            </w:pPr>
          </w:p>
        </w:tc>
        <w:tc>
          <w:tcPr>
            <w:tcW w:w="3920" w:type="dxa"/>
            <w:vAlign w:val="bottom"/>
          </w:tcPr>
          <w:p>
            <w:pPr>
              <w:jc w:val="center"/>
              <w:ind w:left="1520"/>
              <w:spacing w:after="0"/>
              <w:rPr>
                <w:sz w:val="20"/>
                <w:szCs w:val="20"/>
                <w:color w:val="auto"/>
              </w:rPr>
            </w:pPr>
            <w:r>
              <w:rPr>
                <w:rFonts w:ascii="Times New Roman" w:cs="Times New Roman" w:eastAsia="Times New Roman" w:hAnsi="Times New Roman"/>
                <w:sz w:val="12"/>
                <w:szCs w:val="12"/>
                <w:b w:val="1"/>
                <w:bCs w:val="1"/>
                <w:color w:val="auto"/>
                <w:w w:val="98"/>
              </w:rPr>
              <w:t>3501 W Warren Avenue</w:t>
            </w: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72"/>
        </w:trPr>
        <w:tc>
          <w:tcPr>
            <w:tcW w:w="80" w:type="dxa"/>
            <w:vAlign w:val="bottom"/>
          </w:tcPr>
          <w:p>
            <w:pPr>
              <w:spacing w:after="0"/>
              <w:rPr>
                <w:sz w:val="14"/>
                <w:szCs w:val="14"/>
                <w:color w:val="auto"/>
              </w:rPr>
            </w:pPr>
          </w:p>
        </w:tc>
        <w:tc>
          <w:tcPr>
            <w:tcW w:w="3920" w:type="dxa"/>
            <w:vAlign w:val="bottom"/>
            <w:tcBorders>
              <w:bottom w:val="single" w:sz="8" w:color="auto"/>
            </w:tcBorders>
          </w:tcPr>
          <w:p>
            <w:pPr>
              <w:jc w:val="center"/>
              <w:ind w:left="1500"/>
              <w:spacing w:after="0"/>
              <w:rPr>
                <w:sz w:val="20"/>
                <w:szCs w:val="20"/>
                <w:color w:val="auto"/>
              </w:rPr>
            </w:pPr>
            <w:r>
              <w:rPr>
                <w:rFonts w:ascii="Times New Roman" w:cs="Times New Roman" w:eastAsia="Times New Roman" w:hAnsi="Times New Roman"/>
                <w:sz w:val="12"/>
                <w:szCs w:val="12"/>
                <w:b w:val="1"/>
                <w:bCs w:val="1"/>
                <w:color w:val="auto"/>
              </w:rPr>
              <w:t>Fremont, California</w:t>
            </w: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tcPr>
          <w:p>
            <w:pPr>
              <w:jc w:val="right"/>
              <w:ind w:right="2560"/>
              <w:spacing w:after="0"/>
              <w:rPr>
                <w:sz w:val="20"/>
                <w:szCs w:val="20"/>
                <w:color w:val="auto"/>
              </w:rPr>
            </w:pPr>
            <w:r>
              <w:rPr>
                <w:rFonts w:ascii="Times New Roman" w:cs="Times New Roman" w:eastAsia="Times New Roman" w:hAnsi="Times New Roman"/>
                <w:sz w:val="12"/>
                <w:szCs w:val="12"/>
                <w:b w:val="1"/>
                <w:bCs w:val="1"/>
                <w:color w:val="auto"/>
              </w:rPr>
              <w:t>94538</w:t>
            </w:r>
          </w:p>
        </w:tc>
        <w:tc>
          <w:tcPr>
            <w:tcW w:w="80" w:type="dxa"/>
            <w:vAlign w:val="bottom"/>
          </w:tcPr>
          <w:p>
            <w:pPr>
              <w:spacing w:after="0"/>
              <w:rPr>
                <w:sz w:val="14"/>
                <w:szCs w:val="14"/>
                <w:color w:val="auto"/>
              </w:rPr>
            </w:pPr>
          </w:p>
        </w:tc>
      </w:tr>
      <w:tr>
        <w:trPr>
          <w:trHeight w:val="156"/>
        </w:trPr>
        <w:tc>
          <w:tcPr>
            <w:tcW w:w="80" w:type="dxa"/>
            <w:vAlign w:val="bottom"/>
          </w:tcPr>
          <w:p>
            <w:pPr>
              <w:spacing w:after="0"/>
              <w:rPr>
                <w:sz w:val="13"/>
                <w:szCs w:val="13"/>
                <w:color w:val="auto"/>
              </w:rPr>
            </w:pPr>
          </w:p>
        </w:tc>
        <w:tc>
          <w:tcPr>
            <w:tcW w:w="3920" w:type="dxa"/>
            <w:vAlign w:val="bottom"/>
          </w:tcPr>
          <w:p>
            <w:pPr>
              <w:jc w:val="center"/>
              <w:ind w:left="150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gridSpan w:val="2"/>
          </w:tcPr>
          <w:p>
            <w:pPr>
              <w:jc w:val="center"/>
              <w:ind w:right="1720"/>
              <w:spacing w:after="0"/>
              <w:rPr>
                <w:sz w:val="20"/>
                <w:szCs w:val="20"/>
                <w:color w:val="auto"/>
              </w:rPr>
            </w:pPr>
            <w:r>
              <w:rPr>
                <w:rFonts w:ascii="Times New Roman" w:cs="Times New Roman" w:eastAsia="Times New Roman" w:hAnsi="Times New Roman"/>
                <w:sz w:val="12"/>
                <w:szCs w:val="12"/>
                <w:color w:val="auto"/>
                <w:w w:val="98"/>
              </w:rPr>
              <w:t>(Zip Code)</w:t>
            </w:r>
          </w:p>
        </w:tc>
      </w:tr>
    </w:tbl>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12529"/>
        </w:rPr>
        <w:t>Registrant’s Telephone Number, Including Area Code: (510) 695-2350</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9"/>
          <w:szCs w:val="9"/>
          <w:b w:val="1"/>
          <w:bCs w:val="1"/>
          <w:color w:val="212529"/>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2812415</wp:posOffset>
            </wp:positionH>
            <wp:positionV relativeFrom="paragraph">
              <wp:posOffset>65405</wp:posOffset>
            </wp:positionV>
            <wp:extent cx="154876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8765" cy="5715"/>
                    </a:xfrm>
                    <a:prstGeom prst="rect">
                      <a:avLst/>
                    </a:prstGeom>
                    <a:noFill/>
                  </pic:spPr>
                </pic:pic>
              </a:graphicData>
            </a:graphic>
          </wp:anchor>
        </w:drawing>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212529"/>
        </w:rPr>
        <w:t>Check the appropriate box below if the Form 8-K filing is intended to simultaneously satisfy the filing obligation of the registrant under any of the following provisions:</w:t>
      </w:r>
    </w:p>
    <w:p>
      <w:pPr>
        <w:sectPr>
          <w:pgSz w:w="11900" w:h="16838" w:orient="portrait"/>
          <w:cols w:equalWidth="0" w:num="1">
            <w:col w:w="11300"/>
          </w:cols>
          <w:pgMar w:left="300" w:top="639" w:right="299" w:bottom="1440" w:gutter="0" w:footer="0" w:header="0"/>
        </w:sectPr>
      </w:pPr>
    </w:p>
    <w:p>
      <w:pPr>
        <w:spacing w:after="0" w:line="5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10" w:lineRule="exact"/>
        <w:rPr>
          <w:sz w:val="24"/>
          <w:szCs w:val="24"/>
          <w:color w:val="auto"/>
        </w:rPr>
      </w:pPr>
    </w:p>
    <w:p>
      <w:pPr>
        <w:sectPr>
          <w:pgSz w:w="11900" w:h="16838" w:orient="portrait"/>
          <w:cols w:equalWidth="0" w:num="2">
            <w:col w:w="120" w:space="560"/>
            <w:col w:w="10620"/>
          </w:cols>
          <w:pgMar w:left="300" w:top="639" w:right="299" w:bottom="1440" w:gutter="0" w:footer="0" w:header="0"/>
          <w:type w:val="continuous"/>
        </w:sectPr>
      </w:pPr>
    </w:p>
    <w:tbl>
      <w:tblPr>
        <w:tblLayout w:type="fixed"/>
        <w:tblInd w:w="0" w:type="dxa"/>
        <w:tblCellMar>
          <w:top w:w="0" w:type="dxa"/>
          <w:left w:w="0" w:type="dxa"/>
          <w:bottom w:w="0" w:type="dxa"/>
          <w:right w:w="0" w:type="dxa"/>
        </w:tblCellMar>
      </w:tblPr>
      <w:tr>
        <w:trPr>
          <w:trHeight w:val="159"/>
        </w:trPr>
        <w:tc>
          <w:tcPr>
            <w:tcW w:w="7740" w:type="dxa"/>
            <w:vAlign w:val="bottom"/>
            <w:gridSpan w:val="4"/>
          </w:tcPr>
          <w:p>
            <w:pPr>
              <w:ind w:left="4180"/>
              <w:spacing w:after="0"/>
              <w:rPr>
                <w:sz w:val="20"/>
                <w:szCs w:val="20"/>
                <w:color w:val="auto"/>
              </w:rPr>
            </w:pPr>
            <w:r>
              <w:rPr>
                <w:rFonts w:ascii="Times New Roman" w:cs="Times New Roman" w:eastAsia="Times New Roman" w:hAnsi="Times New Roman"/>
                <w:sz w:val="12"/>
                <w:szCs w:val="12"/>
                <w:b w:val="1"/>
                <w:bCs w:val="1"/>
                <w:color w:val="212529"/>
              </w:rPr>
              <w:t>Securities registered pursuant to Section 12(b) of the Act:</w:t>
            </w:r>
          </w:p>
        </w:tc>
        <w:tc>
          <w:tcPr>
            <w:tcW w:w="3560" w:type="dxa"/>
            <w:vAlign w:val="bottom"/>
          </w:tcPr>
          <w:p>
            <w:pPr>
              <w:spacing w:after="0"/>
              <w:rPr>
                <w:sz w:val="13"/>
                <w:szCs w:val="13"/>
                <w:color w:val="auto"/>
              </w:rPr>
            </w:pPr>
          </w:p>
        </w:tc>
      </w:tr>
      <w:tr>
        <w:trPr>
          <w:trHeight w:val="246"/>
        </w:trPr>
        <w:tc>
          <w:tcPr>
            <w:tcW w:w="5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3560" w:type="dxa"/>
            <w:vAlign w:val="bottom"/>
          </w:tcPr>
          <w:p>
            <w:pPr>
              <w:spacing w:after="0"/>
              <w:rPr>
                <w:sz w:val="21"/>
                <w:szCs w:val="21"/>
                <w:color w:val="auto"/>
              </w:rPr>
            </w:pPr>
          </w:p>
        </w:tc>
      </w:tr>
      <w:tr>
        <w:trPr>
          <w:trHeight w:val="163"/>
        </w:trPr>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80" w:type="dxa"/>
            <w:vAlign w:val="bottom"/>
            <w:tcBorders>
              <w:bottom w:val="single" w:sz="8" w:color="CCEEFF"/>
            </w:tcBorders>
          </w:tcPr>
          <w:p>
            <w:pPr>
              <w:spacing w:after="0"/>
              <w:rPr>
                <w:sz w:val="14"/>
                <w:szCs w:val="14"/>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Symbol(s)</w:t>
            </w:r>
          </w:p>
        </w:tc>
        <w:tc>
          <w:tcPr>
            <w:tcW w:w="80" w:type="dxa"/>
            <w:vAlign w:val="bottom"/>
            <w:tcBorders>
              <w:bottom w:val="single" w:sz="8" w:color="CCEEFF"/>
            </w:tcBorders>
          </w:tcPr>
          <w:p>
            <w:pPr>
              <w:spacing w:after="0"/>
              <w:rPr>
                <w:sz w:val="14"/>
                <w:szCs w:val="14"/>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65"/>
        </w:trPr>
        <w:tc>
          <w:tcPr>
            <w:tcW w:w="53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9"/>
              </w:rPr>
              <w:t>Common Stock, par value $0.0001 per share</w:t>
            </w:r>
          </w:p>
        </w:tc>
        <w:tc>
          <w:tcPr>
            <w:tcW w:w="2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5"/>
              </w:rPr>
              <w:t>ENVX</w:t>
            </w: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The Nasdaq Global Select Market</w:t>
            </w:r>
          </w:p>
        </w:tc>
      </w:tr>
      <w:tr>
        <w:trPr>
          <w:trHeight w:val="171"/>
        </w:trPr>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Warrants, each exercisable for one share of Common Stock, at an exercise price of $8.75 per share</w:t>
            </w:r>
          </w:p>
        </w:tc>
        <w:tc>
          <w:tcPr>
            <w:tcW w:w="24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8"/>
              </w:rPr>
              <w:t>ENVXW</w:t>
            </w:r>
          </w:p>
        </w:tc>
        <w:tc>
          <w:tcPr>
            <w:tcW w:w="35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bl>
    <w:p>
      <w:pPr>
        <w:spacing w:after="0" w:line="169" w:lineRule="exact"/>
        <w:rPr>
          <w:sz w:val="24"/>
          <w:szCs w:val="24"/>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212529"/>
        </w:rPr>
        <w:t>Indicate by check mark whether the registrant is an emerging growth company as defined in Rule 405 of the Securities Act of 1933 (§ 230.405 of this chapter) or Rule 12b-2 of the Securities Exchange Act of 1934 (§ 240.12b-2 of this chapter).</w:t>
      </w:r>
    </w:p>
    <w:p>
      <w:pPr>
        <w:spacing w:after="0" w:line="29"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212529"/>
        </w:rPr>
        <w:t xml:space="preserve">Emerging growth company </w:t>
      </w:r>
      <w:r>
        <w:rPr>
          <w:rFonts w:ascii="MS PGothic" w:cs="MS PGothic" w:eastAsia="MS PGothic" w:hAnsi="MS PGothic"/>
          <w:sz w:val="12"/>
          <w:szCs w:val="12"/>
          <w:color w:val="000000"/>
        </w:rPr>
        <w:t>☐</w:t>
      </w:r>
    </w:p>
    <w:p>
      <w:pPr>
        <w:spacing w:after="0" w:line="133"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00000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393700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86360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63500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39"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212529"/>
        </w:rPr>
        <w:t>Item 7.01 Regulation FD Disclosure.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Following the conclusion of its warrant dividend financing, Enovix Corporation updated its investor presentation furnished with this Current Report as Exhibit 99.1. Exhibit 99.1 is incorporated into this Item 7.01 by reference.</w:t>
      </w:r>
    </w:p>
    <w:p>
      <w:pPr>
        <w:spacing w:after="0" w:line="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The information furnished in this Item 7.01, including Exhibit 99.1 attached hereto, shall not be deemed “filed” for purposes of Section 18 of the Securities Exchange Act of 1934, as amended (the “Exchange Act”), or subject to the liabilities of that Section or Sections 11 and 12(a)(2) of the Securities Act of 1933, as amended (the “Securities Act”), and shall not be incorporated by reference in any registration statement or other document filed under the Securities Act or the Exchange Act, whether made before or after the date hereof, regardless of any general incorporation language in such filings, except as shall be expressly set forth by specific reference in such a filing.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212529"/>
        </w:rPr>
        <w:t>Item 9.01 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12529"/>
        </w:rPr>
        <w:t>(d) Exhibits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212529"/>
                <w:w w:val="94"/>
              </w:rPr>
              <w:t>Exhibit</w:t>
            </w:r>
          </w:p>
        </w:tc>
        <w:tc>
          <w:tcPr>
            <w:tcW w:w="2100" w:type="dxa"/>
            <w:vAlign w:val="bottom"/>
          </w:tcPr>
          <w:p>
            <w:pPr>
              <w:spacing w:after="0"/>
              <w:rPr>
                <w:sz w:val="10"/>
                <w:szCs w:val="10"/>
                <w:color w:val="auto"/>
              </w:rPr>
            </w:pPr>
          </w:p>
        </w:tc>
        <w:tc>
          <w:tcPr>
            <w:tcW w:w="8260" w:type="dxa"/>
            <w:vAlign w:val="bottom"/>
            <w:vMerge w:val="restart"/>
          </w:tcPr>
          <w:p>
            <w:pPr>
              <w:ind w:left="2840"/>
              <w:spacing w:after="0"/>
              <w:rPr>
                <w:sz w:val="20"/>
                <w:szCs w:val="20"/>
                <w:color w:val="auto"/>
              </w:rPr>
            </w:pPr>
            <w:r>
              <w:rPr>
                <w:rFonts w:ascii="Times New Roman" w:cs="Times New Roman" w:eastAsia="Times New Roman" w:hAnsi="Times New Roman"/>
                <w:sz w:val="10"/>
                <w:szCs w:val="10"/>
                <w:b w:val="1"/>
                <w:bCs w:val="1"/>
                <w:color w:val="212529"/>
              </w:rPr>
              <w:t>Description</w:t>
            </w:r>
          </w:p>
        </w:tc>
        <w:tc>
          <w:tcPr>
            <w:tcW w:w="0" w:type="dxa"/>
            <w:vAlign w:val="bottom"/>
          </w:tcPr>
          <w:p>
            <w:pPr>
              <w:spacing w:after="0"/>
              <w:rPr>
                <w:sz w:val="1"/>
                <w:szCs w:val="1"/>
                <w:color w:val="auto"/>
              </w:rPr>
            </w:pPr>
          </w:p>
        </w:tc>
      </w:tr>
      <w:tr>
        <w:trPr>
          <w:trHeight w:val="130"/>
        </w:trPr>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212529"/>
                <w:w w:val="95"/>
              </w:rPr>
              <w:t>Number</w:t>
            </w:r>
          </w:p>
        </w:tc>
        <w:tc>
          <w:tcPr>
            <w:tcW w:w="2100" w:type="dxa"/>
            <w:vAlign w:val="bottom"/>
          </w:tcPr>
          <w:p>
            <w:pPr>
              <w:spacing w:after="0"/>
              <w:rPr>
                <w:sz w:val="11"/>
                <w:szCs w:val="11"/>
                <w:color w:val="auto"/>
              </w:rPr>
            </w:pPr>
          </w:p>
        </w:tc>
        <w:tc>
          <w:tcPr>
            <w:tcW w:w="8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760" w:type="dxa"/>
            <w:vAlign w:val="bottom"/>
            <w:tcBorders>
              <w:top w:val="single" w:sz="8" w:color="auto"/>
            </w:tcBorders>
            <w:shd w:val="clear" w:color="auto" w:fill="CCEEFF"/>
          </w:tcPr>
          <w:p>
            <w:pPr>
              <w:jc w:val="right"/>
              <w:ind w:right="226"/>
              <w:spacing w:after="0" w:line="120" w:lineRule="exact"/>
              <w:rPr>
                <w:sz w:val="20"/>
                <w:szCs w:val="20"/>
                <w:color w:val="auto"/>
              </w:rPr>
            </w:pPr>
            <w:r>
              <w:rPr>
                <w:rFonts w:ascii="Times New Roman" w:cs="Times New Roman" w:eastAsia="Times New Roman" w:hAnsi="Times New Roman"/>
                <w:sz w:val="12"/>
                <w:szCs w:val="12"/>
                <w:color w:val="212529"/>
              </w:rPr>
              <w:t>99.1</w:t>
            </w:r>
          </w:p>
        </w:tc>
        <w:tc>
          <w:tcPr>
            <w:tcW w:w="180" w:type="dxa"/>
            <w:vAlign w:val="bottom"/>
            <w:tcBorders>
              <w:top w:val="single" w:sz="8" w:color="CCEEFF"/>
              <w:right w:val="single" w:sz="8" w:color="CCEEFF"/>
            </w:tcBorders>
            <w:shd w:val="clear" w:color="auto" w:fill="CCEEFF"/>
          </w:tcPr>
          <w:p>
            <w:pPr>
              <w:spacing w:after="0"/>
              <w:rPr>
                <w:sz w:val="10"/>
                <w:szCs w:val="10"/>
                <w:color w:val="auto"/>
              </w:rPr>
            </w:pPr>
          </w:p>
        </w:tc>
        <w:tc>
          <w:tcPr>
            <w:tcW w:w="10360" w:type="dxa"/>
            <w:vAlign w:val="bottom"/>
            <w:tcBorders>
              <w:top w:val="single" w:sz="8" w:color="auto"/>
            </w:tcBorders>
            <w:gridSpan w:val="2"/>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0000FF"/>
              </w:rPr>
              <w:t>Investor Presentation dated September 2025</w:t>
            </w:r>
          </w:p>
        </w:tc>
        <w:tc>
          <w:tcPr>
            <w:tcW w:w="0" w:type="dxa"/>
            <w:vAlign w:val="bottom"/>
          </w:tcPr>
          <w:p>
            <w:pPr>
              <w:spacing w:after="0"/>
              <w:rPr>
                <w:sz w:val="1"/>
                <w:szCs w:val="1"/>
                <w:color w:val="auto"/>
              </w:rPr>
            </w:pPr>
          </w:p>
        </w:tc>
      </w:tr>
      <w:tr>
        <w:trPr>
          <w:trHeight w:val="27"/>
        </w:trPr>
        <w:tc>
          <w:tcPr>
            <w:tcW w:w="76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100" w:type="dxa"/>
            <w:vAlign w:val="bottom"/>
            <w:shd w:val="clear" w:color="auto" w:fill="0000FF"/>
          </w:tcPr>
          <w:p>
            <w:pPr>
              <w:spacing w:after="0"/>
              <w:rPr>
                <w:sz w:val="2"/>
                <w:szCs w:val="2"/>
                <w:color w:val="auto"/>
              </w:rPr>
            </w:pPr>
          </w:p>
        </w:tc>
        <w:tc>
          <w:tcPr>
            <w:tcW w:w="8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760" w:type="dxa"/>
            <w:vAlign w:val="bottom"/>
          </w:tcPr>
          <w:p>
            <w:pPr>
              <w:jc w:val="right"/>
              <w:ind w:right="246"/>
              <w:spacing w:after="0"/>
              <w:rPr>
                <w:sz w:val="20"/>
                <w:szCs w:val="20"/>
                <w:color w:val="auto"/>
              </w:rPr>
            </w:pPr>
            <w:r>
              <w:rPr>
                <w:rFonts w:ascii="Times New Roman" w:cs="Times New Roman" w:eastAsia="Times New Roman" w:hAnsi="Times New Roman"/>
                <w:sz w:val="12"/>
                <w:szCs w:val="12"/>
                <w:color w:val="212529"/>
              </w:rPr>
              <w:t>104</w:t>
            </w:r>
          </w:p>
        </w:tc>
        <w:tc>
          <w:tcPr>
            <w:tcW w:w="180" w:type="dxa"/>
            <w:vAlign w:val="bottom"/>
          </w:tcPr>
          <w:p>
            <w:pPr>
              <w:spacing w:after="0"/>
              <w:rPr>
                <w:sz w:val="13"/>
                <w:szCs w:val="13"/>
                <w:color w:val="auto"/>
              </w:rPr>
            </w:pPr>
          </w:p>
        </w:tc>
        <w:tc>
          <w:tcPr>
            <w:tcW w:w="10360" w:type="dxa"/>
            <w:vAlign w:val="bottom"/>
            <w:gridSpan w:val="2"/>
          </w:tcPr>
          <w:p>
            <w:pPr>
              <w:spacing w:after="0"/>
              <w:rPr>
                <w:sz w:val="20"/>
                <w:szCs w:val="20"/>
                <w:color w:val="auto"/>
              </w:rPr>
            </w:pPr>
            <w:r>
              <w:rPr>
                <w:rFonts w:ascii="Times New Roman" w:cs="Times New Roman" w:eastAsia="Times New Roman" w:hAnsi="Times New Roman"/>
                <w:sz w:val="12"/>
                <w:szCs w:val="12"/>
                <w:color w:val="212529"/>
              </w:rPr>
              <w:t>Cover Page Interactive Data File (embedded within the Inline XBRL document).</w:t>
            </w:r>
          </w:p>
        </w:tc>
        <w:tc>
          <w:tcPr>
            <w:tcW w:w="0" w:type="dxa"/>
            <w:vAlign w:val="bottom"/>
          </w:tcPr>
          <w:p>
            <w:pPr>
              <w:spacing w:after="0"/>
              <w:rPr>
                <w:sz w:val="1"/>
                <w:szCs w:val="1"/>
                <w:color w:val="auto"/>
              </w:rPr>
            </w:pPr>
          </w:p>
        </w:tc>
      </w:tr>
      <w:tr>
        <w:trPr>
          <w:trHeight w:val="808"/>
        </w:trPr>
        <w:tc>
          <w:tcPr>
            <w:tcW w:w="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8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2"/>
          <w:szCs w:val="12"/>
          <w:b w:val="1"/>
          <w:bCs w:val="1"/>
          <w:color w:val="212529"/>
        </w:rPr>
        <w:t>SIGNATURE</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212529"/>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2"/>
          <w:szCs w:val="12"/>
          <w:b w:val="1"/>
          <w:bCs w:val="1"/>
          <w:color w:val="212529"/>
        </w:rPr>
        <w:t>Enovix Corporation</w:t>
      </w:r>
    </w:p>
    <w:p>
      <w:pPr>
        <w:spacing w:after="0" w:line="172" w:lineRule="exact"/>
        <w:rPr>
          <w:sz w:val="20"/>
          <w:szCs w:val="20"/>
          <w:color w:val="auto"/>
        </w:rPr>
      </w:pPr>
    </w:p>
    <w:p>
      <w:pPr>
        <w:spacing w:after="0"/>
        <w:tabs>
          <w:tab w:leader="none" w:pos="680" w:val="left"/>
          <w:tab w:leader="none" w:pos="5340" w:val="left"/>
          <w:tab w:leader="none" w:pos="5800" w:val="left"/>
        </w:tabs>
        <w:rPr>
          <w:sz w:val="20"/>
          <w:szCs w:val="20"/>
          <w:color w:val="auto"/>
        </w:rPr>
      </w:pPr>
      <w:r>
        <w:rPr>
          <w:rFonts w:ascii="Times New Roman" w:cs="Times New Roman" w:eastAsia="Times New Roman" w:hAnsi="Times New Roman"/>
          <w:sz w:val="12"/>
          <w:szCs w:val="12"/>
          <w:color w:val="212529"/>
        </w:rPr>
        <w:t>Date:</w:t>
      </w:r>
      <w:r>
        <w:rPr>
          <w:sz w:val="20"/>
          <w:szCs w:val="20"/>
          <w:color w:val="auto"/>
        </w:rPr>
        <w:tab/>
      </w:r>
      <w:r>
        <w:rPr>
          <w:rFonts w:ascii="Times New Roman" w:cs="Times New Roman" w:eastAsia="Times New Roman" w:hAnsi="Times New Roman"/>
          <w:sz w:val="12"/>
          <w:szCs w:val="12"/>
          <w:color w:val="212529"/>
        </w:rPr>
        <w:t>September 9, 2025</w:t>
      </w:r>
      <w:r>
        <w:rPr>
          <w:sz w:val="20"/>
          <w:szCs w:val="20"/>
          <w:color w:val="auto"/>
        </w:rPr>
        <w:tab/>
      </w:r>
      <w:r>
        <w:rPr>
          <w:rFonts w:ascii="Times New Roman" w:cs="Times New Roman" w:eastAsia="Times New Roman" w:hAnsi="Times New Roman"/>
          <w:sz w:val="12"/>
          <w:szCs w:val="12"/>
          <w:color w:val="212529"/>
        </w:rPr>
        <w:t>By:</w:t>
      </w:r>
      <w:r>
        <w:rPr>
          <w:sz w:val="20"/>
          <w:szCs w:val="20"/>
          <w:color w:val="auto"/>
        </w:rPr>
        <w:tab/>
      </w:r>
      <w:r>
        <w:rPr>
          <w:rFonts w:ascii="Times New Roman" w:cs="Times New Roman" w:eastAsia="Times New Roman" w:hAnsi="Times New Roman"/>
          <w:sz w:val="11"/>
          <w:szCs w:val="11"/>
          <w:color w:val="auto"/>
        </w:rPr>
        <w:t>/s/ Arthi Chakravarthy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102235</wp:posOffset>
            </wp:positionV>
            <wp:extent cx="348043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80435" cy="5715"/>
                    </a:xfrm>
                    <a:prstGeom prst="rect">
                      <a:avLst/>
                    </a:prstGeom>
                    <a:noFill/>
                  </pic:spPr>
                </pic:pic>
              </a:graphicData>
            </a:graphic>
          </wp:anchor>
        </w:drawing>
      </w:r>
    </w:p>
    <w:p>
      <w:pPr>
        <w:spacing w:after="0" w:line="16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2"/>
          <w:szCs w:val="12"/>
          <w:color w:val="auto"/>
        </w:rPr>
        <w:t>Arthi Chakravarthy</w:t>
      </w:r>
    </w:p>
    <w:p>
      <w:pPr>
        <w:spacing w:after="0" w:line="1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2"/>
          <w:szCs w:val="12"/>
          <w:color w:val="auto"/>
        </w:rPr>
        <w:t>Chief Legal Officer and Head of Corporate Development</w:t>
      </w:r>
    </w:p>
    <w:p>
      <w:pPr>
        <w:sectPr>
          <w:pgSz w:w="11900" w:h="16838" w:orient="portrait"/>
          <w:cols w:equalWidth="0" w:num="1">
            <w:col w:w="10159"/>
          </w:cols>
          <w:pgMar w:left="300" w:top="665"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2025-09-09T05:45:44Z</dcterms:created>
  <dcterms:modified xsi:type="dcterms:W3CDTF">2025-09-09T05:45:44Z</dcterms:modified>
</cp:coreProperties>
</file>