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ind w:left="0" w:right="0" w:firstLine="3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ind w:left="0" w:right="0" w:firstLine="360"/>
        <w:jc w:val="center"/>
        <w:rPr/>
      </w:pPr>
      <w:r>
        <w:rPr>
          <w:rFonts w:ascii="Times New Roman;serif" w:hAnsi="Times New Roman;serif"/>
          <w:b/>
          <w:color w:val="000000"/>
          <w:sz w:val="28"/>
        </w:rPr>
        <w:t>SECURITIES AND EXCH</w:t>
      </w:r>
      <w:r>
        <w:rPr>
          <w:rFonts w:ascii="Times New Roman;serif" w:hAnsi="Times New Roman;serif"/>
          <w:b/>
          <w:color w:val="000000"/>
          <w:sz w:val="24"/>
        </w:rPr>
        <w:t>ANGE COMMISSION</w:t>
      </w:r>
    </w:p>
    <w:p>
      <w:pPr>
        <w:pStyle w:val="TextBody"/>
        <w:bidi w:val="0"/>
        <w:spacing w:lineRule="auto" w:line="288" w:before="60" w:after="283"/>
        <w:ind w:left="0" w:right="0" w:firstLine="36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60" w:after="283"/>
        <w:ind w:left="0" w:right="0" w:firstLine="36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60" w:after="283"/>
        <w:ind w:left="0" w:right="0" w:firstLine="360"/>
        <w:jc w:val="center"/>
        <w:rPr/>
      </w:pPr>
      <w:r>
        <w:rPr>
          <w:rFonts w:ascii="Wingdings;sans-serif" w:hAnsi="Wingdings;sans-serif"/>
          <w:b w:val="false"/>
          <w:color w:val="000000"/>
          <w:sz w:val="16"/>
        </w:rPr>
        <w:t>x</w:t>
      </w:r>
      <w:r>
        <w:rPr>
          <w:color w:val="000000"/>
        </w:rPr>
        <w:t xml:space="preserve"> </w:t>
      </w:r>
      <w:r>
        <w:rPr>
          <w:rFonts w:ascii="Times New Roman;serif" w:hAnsi="Times New Roman;serif"/>
          <w:b/>
          <w:color w:val="000000"/>
          <w:sz w:val="16"/>
        </w:rPr>
        <w:t>QUARTERLY REPORT PURSUANT TO SECTION 13 OR 15(d) OF THE SECURITIES EXCHANGE ACT OF 1934</w:t>
      </w:r>
    </w:p>
    <w:p>
      <w:pPr>
        <w:pStyle w:val="TextBody"/>
        <w:bidi w:val="0"/>
        <w:spacing w:lineRule="auto" w:line="288" w:before="60" w:after="283"/>
        <w:ind w:left="0" w:right="0" w:firstLine="360"/>
        <w:jc w:val="center"/>
        <w:rPr>
          <w:rFonts w:ascii="Times New Roman;serif" w:hAnsi="Times New Roman;serif"/>
          <w:b/>
          <w:color w:val="000000"/>
          <w:sz w:val="16"/>
        </w:rPr>
      </w:pPr>
      <w:r>
        <w:rPr>
          <w:rFonts w:ascii="Times New Roman;serif" w:hAnsi="Times New Roman;serif"/>
          <w:b/>
          <w:color w:val="000000"/>
          <w:sz w:val="16"/>
        </w:rPr>
        <w:t>For the quarterly period ended July 5, 2026</w:t>
      </w:r>
    </w:p>
    <w:p>
      <w:pPr>
        <w:pStyle w:val="TextBody"/>
        <w:bidi w:val="0"/>
        <w:spacing w:lineRule="auto" w:line="288" w:before="120" w:after="283"/>
        <w:ind w:left="0" w:right="0" w:firstLine="36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60" w:after="283"/>
        <w:ind w:left="0" w:right="0" w:firstLine="360"/>
        <w:jc w:val="center"/>
        <w:rPr/>
      </w:pPr>
      <w:r>
        <w:rPr>
          <w:rFonts w:ascii="Wingdings;sans-serif" w:hAnsi="Wingdings;sans-serif"/>
          <w:b w:val="false"/>
          <w:color w:val="000000"/>
          <w:sz w:val="16"/>
        </w:rPr>
        <w:t>o</w:t>
      </w:r>
      <w:r>
        <w:rPr>
          <w:color w:val="000000"/>
        </w:rPr>
        <w:t xml:space="preserve"> </w:t>
      </w:r>
      <w:r>
        <w:rPr>
          <w:rFonts w:ascii="Times New Roman;serif" w:hAnsi="Times New Roman;serif"/>
          <w:b/>
          <w:color w:val="000000"/>
          <w:sz w:val="16"/>
        </w:rPr>
        <w:t>TRANSITION REPORT PURSUANT TO SECTION 13 OR 15(d) OF THE SECURITIES EXCHANGE ACT OF 1934</w:t>
      </w:r>
    </w:p>
    <w:p>
      <w:pPr>
        <w:pStyle w:val="TextBody"/>
        <w:bidi w:val="0"/>
        <w:spacing w:lineRule="auto" w:line="288" w:before="80" w:after="283"/>
        <w:ind w:left="0" w:right="0" w:firstLine="360"/>
        <w:jc w:val="center"/>
        <w:rPr>
          <w:rFonts w:ascii="Times New Roman;serif" w:hAnsi="Times New Roman;serif"/>
          <w:b/>
          <w:color w:val="000000"/>
          <w:sz w:val="16"/>
        </w:rPr>
      </w:pPr>
      <w:r>
        <w:rPr>
          <w:rFonts w:ascii="Times New Roman;serif" w:hAnsi="Times New Roman;serif"/>
          <w:b/>
          <w:color w:val="000000"/>
          <w:sz w:val="16"/>
        </w:rPr>
        <w:t>For the transition period from__________to __________</w:t>
      </w:r>
    </w:p>
    <w:p>
      <w:pPr>
        <w:pStyle w:val="TextBody"/>
        <w:bidi w:val="0"/>
        <w:spacing w:lineRule="auto" w:line="288" w:before="120" w:after="283"/>
        <w:ind w:left="0" w:right="0" w:firstLine="360"/>
        <w:jc w:val="center"/>
        <w:rPr>
          <w:rFonts w:ascii="Times New Roman;serif" w:hAnsi="Times New Roman;serif"/>
          <w:b/>
          <w:color w:val="000000"/>
          <w:sz w:val="28"/>
        </w:rPr>
      </w:pPr>
      <w:r>
        <w:rPr>
          <w:rFonts w:ascii="Times New Roman;serif" w:hAnsi="Times New Roman;serif"/>
          <w:b/>
          <w:color w:val="000000"/>
          <w:sz w:val="28"/>
        </w:rPr>
        <w:t>Enovix Corporation</w:t>
      </w:r>
    </w:p>
    <w:p>
      <w:pPr>
        <w:pStyle w:val="TextBody"/>
        <w:bidi w:val="0"/>
        <w:spacing w:lineRule="auto" w:line="288" w:before="60" w:after="283"/>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Charter)</w:t>
      </w:r>
    </w:p>
    <w:tbl>
      <w:tblPr>
        <w:tblW w:w="5106" w:type="dxa"/>
        <w:jc w:val="left"/>
        <w:tblInd w:w="0" w:type="dxa"/>
        <w:tblLayout w:type="fixed"/>
        <w:tblCellMar>
          <w:top w:w="28" w:type="dxa"/>
          <w:left w:w="28" w:type="dxa"/>
          <w:bottom w:w="28" w:type="dxa"/>
          <w:right w:w="28" w:type="dxa"/>
        </w:tblCellMar>
      </w:tblPr>
      <w:tblGrid>
        <w:gridCol w:w="714"/>
        <w:gridCol w:w="630"/>
        <w:gridCol w:w="635"/>
        <w:gridCol w:w="109"/>
        <w:gridCol w:w="109"/>
        <w:gridCol w:w="109"/>
        <w:gridCol w:w="343"/>
        <w:gridCol w:w="343"/>
        <w:gridCol w:w="348"/>
        <w:gridCol w:w="109"/>
        <w:gridCol w:w="109"/>
        <w:gridCol w:w="109"/>
        <w:gridCol w:w="419"/>
        <w:gridCol w:w="419"/>
        <w:gridCol w:w="601"/>
      </w:tblGrid>
      <w:tr>
        <w:trPr/>
        <w:tc>
          <w:tcPr>
            <w:tcW w:w="7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Delaware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001-39753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85-3174357</w:t>
            </w:r>
          </w:p>
        </w:tc>
      </w:tr>
      <w:tr>
        <w:trPr/>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lineRule="auto" w:line="288" w:before="80" w:after="283"/>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3501 W Warren Avenue</w:t>
      </w:r>
    </w:p>
    <w:p>
      <w:pPr>
        <w:pStyle w:val="TextBody"/>
        <w:bidi w:val="0"/>
        <w:spacing w:lineRule="auto" w:line="288" w:before="60" w:after="283"/>
        <w:ind w:left="0" w:right="0" w:firstLine="360"/>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Fremont, California 94538</w:t>
      </w:r>
    </w:p>
    <w:p>
      <w:pPr>
        <w:pStyle w:val="TextBody"/>
        <w:bidi w:val="0"/>
        <w:spacing w:lineRule="auto" w:line="288" w:before="60" w:after="283"/>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lineRule="auto" w:line="288" w:before="80" w:after="283"/>
        <w:ind w:left="0" w:right="0" w:firstLine="360"/>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(510) 695-2350</w:t>
      </w:r>
    </w:p>
    <w:p>
      <w:pPr>
        <w:pStyle w:val="TextBody"/>
        <w:bidi w:val="0"/>
        <w:spacing w:lineRule="auto" w:line="288" w:before="60" w:after="283"/>
        <w:ind w:left="0" w:right="0" w:firstLine="36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008" w:type="dxa"/>
        <w:jc w:val="left"/>
        <w:tblInd w:w="0" w:type="dxa"/>
        <w:tblLayout w:type="fixed"/>
        <w:tblCellMar>
          <w:top w:w="28" w:type="dxa"/>
          <w:left w:w="28" w:type="dxa"/>
          <w:bottom w:w="28" w:type="dxa"/>
          <w:right w:w="28" w:type="dxa"/>
        </w:tblCellMar>
      </w:tblPr>
      <w:tblGrid>
        <w:gridCol w:w="1342"/>
        <w:gridCol w:w="1172"/>
        <w:gridCol w:w="1191"/>
        <w:gridCol w:w="109"/>
        <w:gridCol w:w="109"/>
        <w:gridCol w:w="109"/>
        <w:gridCol w:w="474"/>
        <w:gridCol w:w="474"/>
        <w:gridCol w:w="476"/>
        <w:gridCol w:w="109"/>
        <w:gridCol w:w="109"/>
        <w:gridCol w:w="109"/>
        <w:gridCol w:w="945"/>
        <w:gridCol w:w="945"/>
        <w:gridCol w:w="1335"/>
      </w:tblGrid>
      <w:tr>
        <w:trPr/>
        <w:tc>
          <w:tcPr>
            <w:tcW w:w="134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Title of each class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ENVX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20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200" w:after="283"/>
        <w:jc w:val="left"/>
        <w:rPr/>
      </w:pPr>
      <w:r>
        <w:rPr>
          <w:rFonts w:ascii="Times New Roman;serif" w:hAnsi="Times New Roman;serif"/>
          <w:b w:val="false"/>
          <w:color w:val="000000"/>
          <w:sz w:val="16"/>
        </w:rPr>
        <w:t>As of August 7, 2026, 219,448,535</w:t>
      </w:r>
      <w:r>
        <w:rPr>
          <w:color w:val="000000"/>
        </w:rPr>
        <w:t xml:space="preserve"> </w:t>
      </w:r>
      <w:r>
        <w:rPr>
          <w:rFonts w:ascii="Times New Roman;serif" w:hAnsi="Times New Roman;serif"/>
          <w:b w:val="false"/>
          <w:color w:val="000000"/>
          <w:sz w:val="16"/>
        </w:rPr>
        <w:t>shares of common stock, par value $0.0001 per share,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center"/>
                        <w:rPr/>
                      </w:pPr>
                      <w:r>
                        <w:rPr/>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center"/>
        <w:rPr>
          <w:rFonts w:ascii="Times New Roman;serif" w:hAnsi="Times New Roman;serif"/>
          <w:b/>
          <w:color w:val="000000"/>
          <w:sz w:val="16"/>
        </w:rPr>
      </w:pPr>
      <w:r>
        <w:rPr>
          <w:rFonts w:ascii="Times New Roman;serif" w:hAnsi="Times New Roman;serif"/>
          <w:b/>
          <w:color w:val="000000"/>
          <w:sz w:val="16"/>
        </w:rPr>
        <w:t>Table of Contents</w:t>
      </w:r>
    </w:p>
    <w:tbl>
      <w:tblPr>
        <w:tblW w:w="10205" w:type="dxa"/>
        <w:jc w:val="left"/>
        <w:tblInd w:w="0" w:type="dxa"/>
        <w:tblLayout w:type="fixed"/>
        <w:tblCellMar>
          <w:top w:w="28" w:type="dxa"/>
          <w:left w:w="28" w:type="dxa"/>
          <w:bottom w:w="28" w:type="dxa"/>
          <w:right w:w="28" w:type="dxa"/>
        </w:tblCellMar>
      </w:tblPr>
      <w:tblGrid>
        <w:gridCol w:w="267"/>
        <w:gridCol w:w="233"/>
        <w:gridCol w:w="236"/>
        <w:gridCol w:w="2982"/>
        <w:gridCol w:w="2982"/>
        <w:gridCol w:w="2990"/>
        <w:gridCol w:w="149"/>
        <w:gridCol w:w="149"/>
        <w:gridCol w:w="217"/>
      </w:tblGrid>
      <w:tr>
        <w:trPr/>
        <w:tc>
          <w:tcPr>
            <w:tcW w:w="2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13">
              <w:r>
                <w:rPr>
                  <w:rStyle w:val="InternetLink"/>
                  <w:rFonts w:ascii="Times New Roman;serif" w:hAnsi="Times New Roman;serif"/>
                  <w:b/>
                  <w:color w:val="0000FF"/>
                  <w:sz w:val="16"/>
                  <w:u w:val="single"/>
                </w:rPr>
                <w:t>PART I.</w:t>
              </w:r>
            </w:hyperlink>
          </w:p>
        </w:tc>
        <w:tc>
          <w:tcPr>
            <w:tcW w:w="8954"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13">
              <w:r>
                <w:rPr>
                  <w:rStyle w:val="InternetLink"/>
                  <w:rFonts w:ascii="Times New Roman;serif" w:hAnsi="Times New Roman;serif"/>
                  <w:b/>
                  <w:color w:val="0000FF"/>
                  <w:sz w:val="16"/>
                  <w:u w:val="single"/>
                </w:rPr>
                <w:t>FINANCIAL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16">
              <w:r>
                <w:rPr>
                  <w:rStyle w:val="InternetLink"/>
                  <w:rFonts w:ascii="Times New Roman;serif" w:hAnsi="Times New Roman;serif"/>
                  <w:b w:val="false"/>
                  <w:color w:val="0000FF"/>
                  <w:sz w:val="16"/>
                  <w:u w:val="single"/>
                </w:rPr>
                <w:t>Item 1.</w:t>
              </w:r>
            </w:hyperlink>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16">
              <w:r>
                <w:rPr>
                  <w:rStyle w:val="InternetLink"/>
                  <w:rFonts w:ascii="Times New Roman;serif" w:hAnsi="Times New Roman;serif"/>
                  <w:b w:val="false"/>
                  <w:color w:val="0000FF"/>
                  <w:sz w:val="16"/>
                  <w:u w:val="single"/>
                </w:rPr>
                <w:t>Financial Statements (unaudited)</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13">
              <w:r>
                <w:rPr>
                  <w:rStyle w:val="InternetLink"/>
                  <w:rFonts w:ascii="Times New Roman;serif" w:hAnsi="Times New Roman;serif"/>
                  <w:b w:val="false"/>
                  <w:strike w:val="false"/>
                  <w:dstrike w:val="false"/>
                  <w:color w:val="000000"/>
                  <w:sz w:val="16"/>
                  <w:u w:val="none"/>
                  <w:effect w:val="none"/>
                </w:rPr>
                <w:t>1</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19">
              <w:r>
                <w:rPr>
                  <w:rStyle w:val="InternetLink"/>
                  <w:rFonts w:ascii="Times New Roman;serif" w:hAnsi="Times New Roman;serif"/>
                  <w:b w:val="false"/>
                  <w:color w:val="000080"/>
                  <w:sz w:val="16"/>
                  <w:u w:val="single"/>
                </w:rPr>
                <w:t xml:space="preserve">Condensed Consolidated Balance Sheets as of </w:t>
              </w:r>
            </w:hyperlink>
            <w:r>
              <w:rPr>
                <w:rFonts w:ascii="Times New Roman;serif" w:hAnsi="Times New Roman;serif"/>
                <w:b w:val="false"/>
                <w:color w:val="0000FF"/>
                <w:sz w:val="16"/>
                <w:u w:val="single"/>
              </w:rPr>
              <w:t>July 5, 2026 and December 28, 2025</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19">
              <w:r>
                <w:rPr>
                  <w:rStyle w:val="InternetLink"/>
                  <w:rFonts w:ascii="Times New Roman;serif" w:hAnsi="Times New Roman;serif"/>
                  <w:b w:val="false"/>
                  <w:strike w:val="false"/>
                  <w:dstrike w:val="false"/>
                  <w:color w:val="000000"/>
                  <w:sz w:val="16"/>
                  <w:u w:val="none"/>
                  <w:effect w:val="none"/>
                </w:rPr>
                <w:t>1</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2">
              <w:r>
                <w:rPr>
                  <w:rStyle w:val="InternetLink"/>
                  <w:rFonts w:ascii="Times New Roman;serif" w:hAnsi="Times New Roman;serif"/>
                  <w:b w:val="false"/>
                  <w:color w:val="000080"/>
                  <w:sz w:val="16"/>
                  <w:u w:val="single"/>
                </w:rPr>
                <w:t xml:space="preserve">Condensed Consolidated Statements of Operations for the fiscal quarters </w:t>
              </w:r>
            </w:hyperlink>
            <w:hyperlink w:anchor="ib1461675ad594081a582b6dfd492717d_22">
              <w:r>
                <w:rPr>
                  <w:rStyle w:val="InternetLink"/>
                  <w:rFonts w:ascii="Times New Roman;serif" w:hAnsi="Times New Roman;serif"/>
                  <w:b w:val="false"/>
                  <w:color w:val="000080"/>
                  <w:sz w:val="16"/>
                  <w:u w:val="single"/>
                </w:rPr>
                <w:t>and fiscal year</w:t>
              </w:r>
            </w:hyperlink>
            <w:hyperlink w:anchor="ib1461675ad594081a582b6dfd492717d_22">
              <w:r>
                <w:rPr>
                  <w:rStyle w:val="InternetLink"/>
                  <w:rFonts w:ascii="Times New Roman;serif" w:hAnsi="Times New Roman;serif"/>
                  <w:b w:val="false"/>
                  <w:color w:val="000080"/>
                  <w:sz w:val="16"/>
                  <w:u w:val="single"/>
                </w:rPr>
                <w:t xml:space="preserve">s-to-date </w:t>
              </w:r>
            </w:hyperlink>
            <w:hyperlink w:anchor="ib1461675ad594081a582b6dfd492717d_22">
              <w:r>
                <w:rPr>
                  <w:rStyle w:val="InternetLink"/>
                  <w:rFonts w:ascii="Times New Roman;serif" w:hAnsi="Times New Roman;serif"/>
                  <w:b w:val="false"/>
                  <w:color w:val="000080"/>
                  <w:sz w:val="16"/>
                  <w:u w:val="single"/>
                </w:rPr>
                <w:t xml:space="preserve">ended </w:t>
              </w:r>
            </w:hyperlink>
            <w:r>
              <w:rPr>
                <w:rFonts w:ascii="Times New Roman;serif" w:hAnsi="Times New Roman;serif"/>
                <w:b w:val="false"/>
                <w:color w:val="0000FF"/>
                <w:sz w:val="16"/>
                <w:u w:val="single"/>
              </w:rPr>
              <w:t>July 5, 2026</w:t>
            </w:r>
            <w:hyperlink w:anchor="ib1461675ad594081a582b6dfd492717d_22">
              <w:r>
                <w:rPr>
                  <w:rStyle w:val="InternetLink"/>
                  <w:rFonts w:ascii="Times New Roman;serif" w:hAnsi="Times New Roman;serif"/>
                  <w:b w:val="false"/>
                  <w:color w:val="000080"/>
                  <w:sz w:val="16"/>
                  <w:u w:val="single"/>
                </w:rPr>
                <w:t xml:space="preserve"> and </w:t>
              </w:r>
            </w:hyperlink>
            <w:r>
              <w:rPr>
                <w:rFonts w:ascii="Times New Roman;serif" w:hAnsi="Times New Roman;serif"/>
                <w:b w:val="false"/>
                <w:color w:val="0000FF"/>
                <w:sz w:val="16"/>
                <w:u w:val="single"/>
              </w:rPr>
              <w:t>June 29, 2025</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22">
              <w:r>
                <w:rPr>
                  <w:rStyle w:val="InternetLink"/>
                  <w:rFonts w:ascii="Times New Roman;serif" w:hAnsi="Times New Roman;serif"/>
                  <w:b w:val="false"/>
                  <w:strike w:val="false"/>
                  <w:dstrike w:val="false"/>
                  <w:color w:val="000000"/>
                  <w:sz w:val="16"/>
                  <w:u w:val="none"/>
                  <w:effect w:val="none"/>
                </w:rPr>
                <w:t>2</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
              <w:r>
                <w:rPr>
                  <w:rStyle w:val="InternetLink"/>
                  <w:rFonts w:ascii="Times New Roman;serif" w:hAnsi="Times New Roman;serif"/>
                  <w:b w:val="false"/>
                  <w:color w:val="000080"/>
                  <w:sz w:val="16"/>
                  <w:u w:val="single"/>
                </w:rPr>
                <w:t>Condensed Consolidated Statements of Comprehensive Income (Loss) for the fiscal quarters</w:t>
              </w:r>
            </w:hyperlink>
            <w:hyperlink w:anchor="ib1461675ad594081a582b6dfd492717d_25">
              <w:r>
                <w:rPr>
                  <w:rStyle w:val="InternetLink"/>
                  <w:rFonts w:ascii="Times New Roman;serif" w:hAnsi="Times New Roman;serif"/>
                  <w:b w:val="false"/>
                  <w:color w:val="000080"/>
                  <w:sz w:val="16"/>
                  <w:u w:val="single"/>
                </w:rPr>
                <w:t xml:space="preserve"> and fisca</w:t>
              </w:r>
            </w:hyperlink>
            <w:hyperlink w:anchor="ib1461675ad594081a582b6dfd492717d_25">
              <w:r>
                <w:rPr>
                  <w:rStyle w:val="InternetLink"/>
                  <w:rFonts w:ascii="Times New Roman;serif" w:hAnsi="Times New Roman;serif"/>
                  <w:b w:val="false"/>
                  <w:color w:val="000080"/>
                  <w:sz w:val="16"/>
                  <w:u w:val="single"/>
                </w:rPr>
                <w:t>l years</w:t>
              </w:r>
            </w:hyperlink>
            <w:hyperlink w:anchor="ib1461675ad594081a582b6dfd492717d_25">
              <w:r>
                <w:rPr>
                  <w:rStyle w:val="InternetLink"/>
                  <w:rFonts w:ascii="Times New Roman;serif" w:hAnsi="Times New Roman;serif"/>
                  <w:b w:val="false"/>
                  <w:color w:val="000080"/>
                  <w:sz w:val="16"/>
                  <w:u w:val="single"/>
                </w:rPr>
                <w:t>-</w:t>
              </w:r>
            </w:hyperlink>
            <w:hyperlink w:anchor="ib1461675ad594081a582b6dfd492717d_25">
              <w:r>
                <w:rPr>
                  <w:rStyle w:val="InternetLink"/>
                  <w:rFonts w:ascii="Times New Roman;serif" w:hAnsi="Times New Roman;serif"/>
                  <w:b w:val="false"/>
                  <w:color w:val="000080"/>
                  <w:sz w:val="16"/>
                  <w:u w:val="single"/>
                </w:rPr>
                <w:t>to-date</w:t>
              </w:r>
            </w:hyperlink>
            <w:hyperlink w:anchor="ib1461675ad594081a582b6dfd492717d_25">
              <w:r>
                <w:rPr>
                  <w:rStyle w:val="InternetLink"/>
                  <w:rFonts w:ascii="Times New Roman;serif" w:hAnsi="Times New Roman;serif"/>
                  <w:b w:val="false"/>
                  <w:color w:val="000080"/>
                  <w:sz w:val="16"/>
                  <w:u w:val="single"/>
                </w:rPr>
                <w:t xml:space="preserve"> ended </w:t>
              </w:r>
            </w:hyperlink>
            <w:r>
              <w:rPr>
                <w:rFonts w:ascii="Times New Roman;serif" w:hAnsi="Times New Roman;serif"/>
                <w:b w:val="false"/>
                <w:color w:val="0000FF"/>
                <w:sz w:val="16"/>
                <w:u w:val="single"/>
              </w:rPr>
              <w:t>July 5, 2026</w:t>
            </w:r>
            <w:r>
              <w:rPr>
                <w:color w:val="000000"/>
              </w:rPr>
              <w:t xml:space="preserve"> </w:t>
            </w:r>
            <w:r>
              <w:rPr>
                <w:rFonts w:ascii="Times New Roman;serif" w:hAnsi="Times New Roman;serif"/>
                <w:b w:val="false"/>
                <w:color w:val="0000FF"/>
                <w:sz w:val="16"/>
              </w:rPr>
              <w:t>and</w:t>
            </w:r>
            <w:r>
              <w:rPr>
                <w:color w:val="000000"/>
              </w:rPr>
              <w:t xml:space="preserve"> </w:t>
            </w:r>
            <w:r>
              <w:rPr>
                <w:rFonts w:ascii="Times New Roman;serif" w:hAnsi="Times New Roman;serif"/>
                <w:b w:val="false"/>
                <w:color w:val="0000FF"/>
                <w:sz w:val="16"/>
                <w:u w:val="single"/>
              </w:rPr>
              <w:t>June 29, 2025</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25">
              <w:r>
                <w:rPr>
                  <w:rStyle w:val="InternetLink"/>
                  <w:rFonts w:ascii="Times New Roman;serif" w:hAnsi="Times New Roman;serif"/>
                  <w:b w:val="false"/>
                  <w:strike w:val="false"/>
                  <w:dstrike w:val="false"/>
                  <w:color w:val="000000"/>
                  <w:sz w:val="16"/>
                  <w:u w:val="none"/>
                  <w:effect w:val="none"/>
                </w:rPr>
                <w:t>3</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8">
              <w:r>
                <w:rPr>
                  <w:rStyle w:val="InternetLink"/>
                  <w:rFonts w:ascii="Times New Roman;serif" w:hAnsi="Times New Roman;serif"/>
                  <w:b w:val="false"/>
                  <w:color w:val="000080"/>
                  <w:sz w:val="16"/>
                  <w:u w:val="single"/>
                </w:rPr>
                <w:t>Condensed Consolidated Statements of Stockholders’ Equity for the fiscal quarters</w:t>
              </w:r>
            </w:hyperlink>
            <w:hyperlink w:anchor="ib1461675ad594081a582b6dfd492717d_28">
              <w:r>
                <w:rPr>
                  <w:rStyle w:val="InternetLink"/>
                  <w:rFonts w:ascii="Times New Roman;serif" w:hAnsi="Times New Roman;serif"/>
                  <w:b w:val="false"/>
                  <w:color w:val="000080"/>
                  <w:sz w:val="16"/>
                  <w:u w:val="single"/>
                </w:rPr>
                <w:t xml:space="preserve"> and fiscal years-to-date</w:t>
              </w:r>
            </w:hyperlink>
            <w:hyperlink w:anchor="ib1461675ad594081a582b6dfd492717d_28">
              <w:r>
                <w:rPr>
                  <w:rStyle w:val="InternetLink"/>
                  <w:rFonts w:ascii="Times New Roman;serif" w:hAnsi="Times New Roman;serif"/>
                  <w:b w:val="false"/>
                  <w:color w:val="000080"/>
                  <w:sz w:val="16"/>
                  <w:u w:val="single"/>
                </w:rPr>
                <w:t xml:space="preserve"> ended </w:t>
              </w:r>
            </w:hyperlink>
            <w:r>
              <w:rPr>
                <w:rFonts w:ascii="Times New Roman;serif" w:hAnsi="Times New Roman;serif"/>
                <w:b w:val="false"/>
                <w:color w:val="0000FF"/>
                <w:sz w:val="16"/>
                <w:u w:val="single"/>
              </w:rPr>
              <w:t>July 5, 2026 and June 29, 2025</w:t>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28">
              <w:r>
                <w:rPr>
                  <w:rStyle w:val="InternetLink"/>
                  <w:rFonts w:ascii="Times New Roman;serif" w:hAnsi="Times New Roman;serif"/>
                  <w:b w:val="false"/>
                  <w:strike w:val="false"/>
                  <w:dstrike w:val="false"/>
                  <w:color w:val="000000"/>
                  <w:sz w:val="16"/>
                  <w:u w:val="none"/>
                  <w:effect w:val="none"/>
                </w:rPr>
                <w:t>4</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7">
              <w:r>
                <w:rPr>
                  <w:rStyle w:val="InternetLink"/>
                  <w:rFonts w:ascii="Times New Roman;serif" w:hAnsi="Times New Roman;serif"/>
                  <w:b w:val="false"/>
                  <w:color w:val="000080"/>
                  <w:sz w:val="16"/>
                  <w:u w:val="single"/>
                </w:rPr>
                <w:t>Condensed Consolidated Statements of Cash Flows for the fiscal</w:t>
              </w:r>
            </w:hyperlink>
            <w:hyperlink w:anchor="ib1461675ad594081a582b6dfd492717d_37">
              <w:r>
                <w:rPr>
                  <w:rStyle w:val="InternetLink"/>
                  <w:rFonts w:ascii="Times New Roman;serif" w:hAnsi="Times New Roman;serif"/>
                  <w:b w:val="false"/>
                  <w:color w:val="000080"/>
                  <w:sz w:val="16"/>
                  <w:u w:val="single"/>
                </w:rPr>
                <w:t xml:space="preserve"> years-to-date</w:t>
              </w:r>
            </w:hyperlink>
            <w:hyperlink w:anchor="ib1461675ad594081a582b6dfd492717d_37">
              <w:r>
                <w:rPr>
                  <w:rStyle w:val="InternetLink"/>
                  <w:rFonts w:ascii="Times New Roman;serif" w:hAnsi="Times New Roman;serif"/>
                  <w:b w:val="false"/>
                  <w:color w:val="000080"/>
                  <w:sz w:val="16"/>
                  <w:u w:val="single"/>
                </w:rPr>
                <w:t xml:space="preserve"> ended </w:t>
              </w:r>
            </w:hyperlink>
            <w:r>
              <w:rPr>
                <w:rFonts w:ascii="Times New Roman;serif" w:hAnsi="Times New Roman;serif"/>
                <w:b w:val="false"/>
                <w:color w:val="0000FF"/>
                <w:sz w:val="16"/>
                <w:u w:val="single"/>
              </w:rPr>
              <w:t>July 5, 2026 and June 29, 2025</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37">
              <w:r>
                <w:rPr>
                  <w:rStyle w:val="InternetLink"/>
                  <w:rFonts w:ascii="Times New Roman;serif" w:hAnsi="Times New Roman;serif"/>
                  <w:b w:val="false"/>
                  <w:strike w:val="false"/>
                  <w:dstrike w:val="false"/>
                  <w:color w:val="000000"/>
                  <w:sz w:val="16"/>
                  <w:u w:val="none"/>
                  <w:effect w:val="none"/>
                </w:rPr>
                <w:t>5</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46">
              <w:r>
                <w:rPr>
                  <w:rStyle w:val="InternetLink"/>
                  <w:rFonts w:ascii="Times New Roman;serif" w:hAnsi="Times New Roman;serif"/>
                  <w:b w:val="false"/>
                  <w:color w:val="0000FF"/>
                  <w:sz w:val="16"/>
                  <w:u w:val="single"/>
                </w:rPr>
                <w:t>Notes to Condensed Consolidated Financial Statements</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46">
              <w:r>
                <w:rPr>
                  <w:rStyle w:val="InternetLink"/>
                  <w:rFonts w:ascii="Times New Roman;serif" w:hAnsi="Times New Roman;serif"/>
                  <w:b w:val="false"/>
                  <w:strike w:val="false"/>
                  <w:dstrike w:val="false"/>
                  <w:color w:val="000000"/>
                  <w:sz w:val="16"/>
                  <w:u w:val="none"/>
                  <w:effect w:val="none"/>
                </w:rPr>
                <w:t>7</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154">
              <w:r>
                <w:rPr>
                  <w:rStyle w:val="InternetLink"/>
                  <w:rFonts w:ascii="Times New Roman;serif" w:hAnsi="Times New Roman;serif"/>
                  <w:b w:val="false"/>
                  <w:color w:val="0000FF"/>
                  <w:sz w:val="16"/>
                  <w:u w:val="single"/>
                </w:rPr>
                <w:t>Item 2.</w:t>
              </w:r>
            </w:hyperlink>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154">
              <w:r>
                <w:rPr>
                  <w:rStyle w:val="InternetLink"/>
                  <w:rFonts w:ascii="Times New Roman;serif" w:hAnsi="Times New Roman;serif"/>
                  <w:b w:val="false"/>
                  <w:color w:val="0000FF"/>
                  <w:sz w:val="16"/>
                  <w:u w:val="single"/>
                </w:rPr>
                <w:t>Management’s Discussion and Analysis of Financial Condition and Results of Operations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154">
              <w:r>
                <w:rPr>
                  <w:rStyle w:val="InternetLink"/>
                  <w:rFonts w:ascii="Times New Roman;serif" w:hAnsi="Times New Roman;serif"/>
                  <w:b w:val="false"/>
                  <w:strike w:val="false"/>
                  <w:dstrike w:val="false"/>
                  <w:color w:val="000000"/>
                  <w:sz w:val="16"/>
                  <w:u w:val="none"/>
                  <w:effect w:val="none"/>
                </w:rPr>
                <w:t>22</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0">
              <w:r>
                <w:rPr>
                  <w:rStyle w:val="InternetLink"/>
                  <w:rFonts w:ascii="Times New Roman;serif" w:hAnsi="Times New Roman;serif"/>
                  <w:b w:val="false"/>
                  <w:color w:val="0000FF"/>
                  <w:sz w:val="16"/>
                  <w:u w:val="single"/>
                </w:rPr>
                <w:t>Item 3.</w:t>
              </w:r>
            </w:hyperlink>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0">
              <w:r>
                <w:rPr>
                  <w:rStyle w:val="InternetLink"/>
                  <w:rFonts w:ascii="Times New Roman;serif" w:hAnsi="Times New Roman;serif"/>
                  <w:b w:val="false"/>
                  <w:color w:val="0000FF"/>
                  <w:sz w:val="16"/>
                  <w:u w:val="single"/>
                </w:rPr>
                <w:t>Quantitative and Qualitative Disclosure about Market Risks</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250">
              <w:r>
                <w:rPr>
                  <w:rStyle w:val="InternetLink"/>
                  <w:rFonts w:ascii="Times New Roman;serif" w:hAnsi="Times New Roman;serif"/>
                  <w:b w:val="false"/>
                  <w:strike w:val="false"/>
                  <w:dstrike w:val="false"/>
                  <w:color w:val="000000"/>
                  <w:sz w:val="16"/>
                  <w:u w:val="none"/>
                  <w:effect w:val="none"/>
                </w:rPr>
                <w:t>31</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3">
              <w:r>
                <w:rPr>
                  <w:rStyle w:val="InternetLink"/>
                  <w:rFonts w:ascii="Times New Roman;serif" w:hAnsi="Times New Roman;serif"/>
                  <w:b w:val="false"/>
                  <w:color w:val="0000FF"/>
                  <w:sz w:val="16"/>
                  <w:u w:val="single"/>
                </w:rPr>
                <w:t>Item 4.</w:t>
              </w:r>
            </w:hyperlink>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3">
              <w:r>
                <w:rPr>
                  <w:rStyle w:val="InternetLink"/>
                  <w:rFonts w:ascii="Times New Roman;serif" w:hAnsi="Times New Roman;serif"/>
                  <w:b w:val="false"/>
                  <w:color w:val="0000FF"/>
                  <w:sz w:val="16"/>
                  <w:u w:val="single"/>
                </w:rPr>
                <w:t>Controls and Procedures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253">
              <w:r>
                <w:rPr>
                  <w:rStyle w:val="InternetLink"/>
                  <w:rFonts w:ascii="Times New Roman;serif" w:hAnsi="Times New Roman;serif"/>
                  <w:b w:val="false"/>
                  <w:strike w:val="false"/>
                  <w:dstrike w:val="false"/>
                  <w:color w:val="000000"/>
                  <w:sz w:val="16"/>
                  <w:u w:val="none"/>
                  <w:effect w:val="none"/>
                </w:rPr>
                <w:t>32</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6">
              <w:r>
                <w:rPr>
                  <w:rStyle w:val="InternetLink"/>
                  <w:rFonts w:ascii="Times New Roman;serif" w:hAnsi="Times New Roman;serif"/>
                  <w:b/>
                  <w:color w:val="0000FF"/>
                  <w:sz w:val="16"/>
                  <w:u w:val="single"/>
                </w:rPr>
                <w:t>PART II.</w:t>
              </w:r>
            </w:hyperlink>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6">
              <w:r>
                <w:rPr>
                  <w:rStyle w:val="InternetLink"/>
                  <w:rFonts w:ascii="Times New Roman;serif" w:hAnsi="Times New Roman;serif"/>
                  <w:b/>
                  <w:color w:val="0000FF"/>
                  <w:sz w:val="16"/>
                  <w:u w:val="single"/>
                </w:rPr>
                <w:t>OTHER INFORMATION</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9">
              <w:r>
                <w:rPr>
                  <w:rStyle w:val="InternetLink"/>
                  <w:rFonts w:ascii="Times New Roman;serif" w:hAnsi="Times New Roman;serif"/>
                  <w:b w:val="false"/>
                  <w:color w:val="0000FF"/>
                  <w:sz w:val="16"/>
                  <w:u w:val="single"/>
                </w:rPr>
                <w:t>Item 1.</w:t>
              </w:r>
            </w:hyperlink>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59">
              <w:r>
                <w:rPr>
                  <w:rStyle w:val="InternetLink"/>
                  <w:rFonts w:ascii="Times New Roman;serif" w:hAnsi="Times New Roman;serif"/>
                  <w:b w:val="false"/>
                  <w:color w:val="0000FF"/>
                  <w:sz w:val="16"/>
                  <w:u w:val="single"/>
                </w:rPr>
                <w:t>Legal Proceedings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259">
              <w:r>
                <w:rPr>
                  <w:rStyle w:val="InternetLink"/>
                  <w:rFonts w:ascii="Times New Roman;serif" w:hAnsi="Times New Roman;serif"/>
                  <w:b w:val="false"/>
                  <w:strike w:val="false"/>
                  <w:dstrike w:val="false"/>
                  <w:color w:val="000000"/>
                  <w:sz w:val="16"/>
                  <w:u w:val="none"/>
                  <w:effect w:val="none"/>
                </w:rPr>
                <w:t>32</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62">
              <w:r>
                <w:rPr>
                  <w:rStyle w:val="InternetLink"/>
                  <w:rFonts w:ascii="Times New Roman;serif" w:hAnsi="Times New Roman;serif"/>
                  <w:b w:val="false"/>
                  <w:color w:val="0000FF"/>
                  <w:sz w:val="16"/>
                  <w:u w:val="single"/>
                </w:rPr>
                <w:t>Item 1A.</w:t>
              </w:r>
            </w:hyperlink>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262">
              <w:r>
                <w:rPr>
                  <w:rStyle w:val="InternetLink"/>
                  <w:rFonts w:ascii="Times New Roman;serif" w:hAnsi="Times New Roman;serif"/>
                  <w:b w:val="false"/>
                  <w:color w:val="0000FF"/>
                  <w:sz w:val="16"/>
                  <w:u w:val="single"/>
                </w:rPr>
                <w:t>Risk Factors</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262">
              <w:r>
                <w:rPr>
                  <w:rStyle w:val="InternetLink"/>
                  <w:rFonts w:ascii="Times New Roman;serif" w:hAnsi="Times New Roman;serif"/>
                  <w:b w:val="false"/>
                  <w:strike w:val="false"/>
                  <w:dstrike w:val="false"/>
                  <w:color w:val="000000"/>
                  <w:sz w:val="16"/>
                  <w:u w:val="none"/>
                  <w:effect w:val="none"/>
                </w:rPr>
                <w:t>32</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01">
              <w:r>
                <w:rPr>
                  <w:rStyle w:val="InternetLink"/>
                  <w:rFonts w:ascii="Times New Roman;serif" w:hAnsi="Times New Roman;serif"/>
                  <w:b w:val="false"/>
                  <w:color w:val="0000FF"/>
                  <w:sz w:val="16"/>
                  <w:u w:val="single"/>
                </w:rPr>
                <w:t>Item 2.</w:t>
              </w:r>
            </w:hyperlink>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01">
              <w:r>
                <w:rPr>
                  <w:rStyle w:val="InternetLink"/>
                  <w:rFonts w:ascii="Times New Roman;serif" w:hAnsi="Times New Roman;serif"/>
                  <w:b w:val="false"/>
                  <w:color w:val="0000FF"/>
                  <w:sz w:val="16"/>
                  <w:u w:val="single"/>
                </w:rPr>
                <w:t>Unregistered Sales of Equity Securities and Use of Proceeds from Registered Securities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301">
              <w:r>
                <w:rPr>
                  <w:rStyle w:val="InternetLink"/>
                  <w:rFonts w:ascii="Times New Roman;serif" w:hAnsi="Times New Roman;serif"/>
                  <w:b w:val="false"/>
                  <w:strike w:val="false"/>
                  <w:dstrike w:val="false"/>
                  <w:color w:val="000000"/>
                  <w:sz w:val="16"/>
                  <w:u w:val="none"/>
                  <w:effect w:val="none"/>
                </w:rPr>
                <w:t>63</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04">
              <w:r>
                <w:rPr>
                  <w:rStyle w:val="InternetLink"/>
                  <w:rFonts w:ascii="Times New Roman;serif" w:hAnsi="Times New Roman;serif"/>
                  <w:b w:val="false"/>
                  <w:color w:val="0000FF"/>
                  <w:sz w:val="16"/>
                  <w:u w:val="single"/>
                </w:rPr>
                <w:t>Item 3</w:t>
              </w:r>
            </w:hyperlink>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04">
              <w:r>
                <w:rPr>
                  <w:rStyle w:val="InternetLink"/>
                  <w:rFonts w:ascii="Times New Roman;serif" w:hAnsi="Times New Roman;serif"/>
                  <w:b w:val="false"/>
                  <w:color w:val="0000FF"/>
                  <w:sz w:val="16"/>
                  <w:u w:val="single"/>
                </w:rPr>
                <w:t>Defaults Upon Senior Securities</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304">
              <w:r>
                <w:rPr>
                  <w:rStyle w:val="InternetLink"/>
                  <w:rFonts w:ascii="Times New Roman;serif" w:hAnsi="Times New Roman;serif"/>
                  <w:b w:val="false"/>
                  <w:strike w:val="false"/>
                  <w:dstrike w:val="false"/>
                  <w:color w:val="000000"/>
                  <w:sz w:val="16"/>
                  <w:u w:val="none"/>
                  <w:effect w:val="none"/>
                </w:rPr>
                <w:t>64</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07">
              <w:r>
                <w:rPr>
                  <w:rStyle w:val="InternetLink"/>
                  <w:rFonts w:ascii="Times New Roman;serif" w:hAnsi="Times New Roman;serif"/>
                  <w:b w:val="false"/>
                  <w:color w:val="0000FF"/>
                  <w:sz w:val="16"/>
                  <w:u w:val="single"/>
                </w:rPr>
                <w:t>Item 4</w:t>
              </w:r>
            </w:hyperlink>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07">
              <w:r>
                <w:rPr>
                  <w:rStyle w:val="InternetLink"/>
                  <w:rFonts w:ascii="Times New Roman;serif" w:hAnsi="Times New Roman;serif"/>
                  <w:b w:val="false"/>
                  <w:color w:val="0000FF"/>
                  <w:sz w:val="16"/>
                  <w:u w:val="single"/>
                </w:rPr>
                <w:t>Mine Safety Disclosures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307">
              <w:r>
                <w:rPr>
                  <w:rStyle w:val="InternetLink"/>
                  <w:rFonts w:ascii="Times New Roman;serif" w:hAnsi="Times New Roman;serif"/>
                  <w:b w:val="false"/>
                  <w:strike w:val="false"/>
                  <w:dstrike w:val="false"/>
                  <w:color w:val="000000"/>
                  <w:sz w:val="16"/>
                  <w:u w:val="none"/>
                  <w:effect w:val="none"/>
                </w:rPr>
                <w:t>64</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10">
              <w:r>
                <w:rPr>
                  <w:rStyle w:val="InternetLink"/>
                  <w:rFonts w:ascii="Times New Roman;serif" w:hAnsi="Times New Roman;serif"/>
                  <w:b w:val="false"/>
                  <w:color w:val="0000FF"/>
                  <w:sz w:val="16"/>
                  <w:u w:val="single"/>
                </w:rPr>
                <w:t>Item 5</w:t>
              </w:r>
            </w:hyperlink>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10">
              <w:r>
                <w:rPr>
                  <w:rStyle w:val="InternetLink"/>
                  <w:rFonts w:ascii="Times New Roman;serif" w:hAnsi="Times New Roman;serif"/>
                  <w:b w:val="false"/>
                  <w:color w:val="0000FF"/>
                  <w:sz w:val="16"/>
                  <w:u w:val="single"/>
                </w:rPr>
                <w:t>Other Information</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310">
              <w:r>
                <w:rPr>
                  <w:rStyle w:val="InternetLink"/>
                  <w:rFonts w:ascii="Times New Roman;serif" w:hAnsi="Times New Roman;serif"/>
                  <w:b w:val="false"/>
                  <w:strike w:val="false"/>
                  <w:dstrike w:val="false"/>
                  <w:color w:val="000000"/>
                  <w:sz w:val="16"/>
                  <w:u w:val="none"/>
                  <w:effect w:val="none"/>
                </w:rPr>
                <w:t>64</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13">
              <w:r>
                <w:rPr>
                  <w:rStyle w:val="InternetLink"/>
                  <w:rFonts w:ascii="Times New Roman;serif" w:hAnsi="Times New Roman;serif"/>
                  <w:b w:val="false"/>
                  <w:color w:val="0000FF"/>
                  <w:sz w:val="16"/>
                  <w:u w:val="single"/>
                </w:rPr>
                <w:t>Item 6.</w:t>
              </w:r>
            </w:hyperlink>
          </w:p>
        </w:tc>
        <w:tc>
          <w:tcPr>
            <w:tcW w:w="895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13">
              <w:r>
                <w:rPr>
                  <w:rStyle w:val="InternetLink"/>
                  <w:rFonts w:ascii="Times New Roman;serif" w:hAnsi="Times New Roman;serif"/>
                  <w:b w:val="false"/>
                  <w:color w:val="0000FF"/>
                  <w:sz w:val="16"/>
                  <w:u w:val="single"/>
                </w:rPr>
                <w:t>Exhibits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313">
              <w:r>
                <w:rPr>
                  <w:rStyle w:val="InternetLink"/>
                  <w:rFonts w:ascii="Times New Roman;serif" w:hAnsi="Times New Roman;serif"/>
                  <w:b w:val="false"/>
                  <w:strike w:val="false"/>
                  <w:dstrike w:val="false"/>
                  <w:color w:val="000000"/>
                  <w:sz w:val="16"/>
                  <w:u w:val="none"/>
                  <w:effect w:val="none"/>
                </w:rPr>
                <w:t>65</w:t>
              </w:r>
            </w:hyperlink>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hyperlink w:anchor="ib1461675ad594081a582b6dfd492717d_316">
              <w:r>
                <w:rPr>
                  <w:rStyle w:val="InternetLink"/>
                  <w:rFonts w:ascii="Times New Roman;serif" w:hAnsi="Times New Roman;serif"/>
                  <w:b w:val="false"/>
                  <w:color w:val="0000FF"/>
                  <w:sz w:val="16"/>
                  <w:u w:val="single"/>
                </w:rPr>
                <w:t>Signatures</w:t>
              </w:r>
            </w:hyperlink>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center"/>
              <w:rPr/>
            </w:pPr>
            <w:hyperlink w:anchor="ib1461675ad594081a582b6dfd492717d_316">
              <w:r>
                <w:rPr>
                  <w:rStyle w:val="InternetLink"/>
                  <w:rFonts w:ascii="Times New Roman;serif" w:hAnsi="Times New Roman;serif"/>
                  <w:b w:val="false"/>
                  <w:strike w:val="false"/>
                  <w:dstrike w:val="false"/>
                  <w:color w:val="000000"/>
                  <w:sz w:val="16"/>
                  <w:u w:val="none"/>
                  <w:effect w:val="non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6860"/>
                <wp:effectExtent l="0" t="0" r="0" b="0"/>
                <wp:wrapNone/>
                <wp:docPr id="2" name="Frame2"/>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center"/>
                        <w:rPr/>
                      </w:pPr>
                      <w:r>
                        <w:rPr/>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The statements contained in this Quarterly Report on Form 10-Q that are not purely historical are forward-looking statements. Forward-looking statements generally relate to future events or our future financial or operating performance and can be identified by words such as anticipate, believe, continue, could, estimate, expect, intend, may, might, plan, possible, potential, predict, project, should, will, would and similar expressions that convey uncertainty about future events or outcomes. In addition, any statements that refer to projections, forecasts, management’s expectations, hopes, beliefs, intentions or strategies regarding the future, are forward-looking statements. Examples of forward-looking statements in this Quarterly Report on Form 10-Q include, without limitation, statements about our: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respond to customer and market demand;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build and scale manufacturing lines for our lithium-ion batteries, as well as production and commercialization timelines, our ability to have adequate capacity to satisfy customer demands and the timing and expected benefits of expanding our manufacturing capacity;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meet milestones and customer acceptance of key products, such as AI-1</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and AI class products and MX</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products, as well as the market readiness of such products, and the effectiveness of our product design;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expectations and estimations of the total addressable market for our batteries, including the demand for more energy dense batteries and the suitability of our products to address this demand, and the impact of artificial intelligence features on the demand for energy dense batteries and the suitability of our products to address this demand;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expectations relating to the timing of customer testing, qualification, sampling and commercial introduction of smartphone products and the production and shipment of smart eyewear products, the potential growth in sales to defense customers, and expectations regarding potential customer purchases, results of safety testing and customer qualification of our products;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expectations regarding growth and conversion of our customer pipeline, including demand for our drone, defense and industrial products and applicable government sourcing requirements;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ability to manage our expenses and realize our cost savings goals;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ability to manage and achieve the benefits of our restructuring efforts;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products, technologies, technology roadmap, business model and growth strategy, including expected product performance and capabilities, commercialization opportunities, market opportunity and the expansion of our customer base;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product strategy for our conventional lithium-ion battery products;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ability to meet the expectations of new and current customers, including safety and qualification requirements, and our ability to achieve market acceptance for our products;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financial performance and liquidity, including revenue from the sale of batteries and battery pack products and engineering revenue contracts, expenses and projections thereof, and the sufficiency and use of our capital resources;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operational capabilities of our manufacturing lines, including the anticipated growth and improvements in commercialization and R&amp;D activities to support product innovation;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ability to attract and hire additional personnel, including for our international locations and to facilitate the build-out of existing and additional production lines;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ability to optimize our manufacturing process and execute on our future product development strategy and roadmap to profitability, including achieving improvements in yield, throughput, dicing processes, performance, cost efficiency and overall production economics;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expectations regarding our development and other collaboration agreements with potential customers, including in the smartphone, smart eyewear, IoT and defense categories;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6860"/>
                <wp:effectExtent l="0" t="0" r="0" b="0"/>
                <wp:wrapNone/>
                <wp:docPr id="3" name="Frame3"/>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center"/>
                        <w:rPr/>
                      </w:pPr>
                      <w:r>
                        <w:rPr/>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ability to validate the advantages of our cell architecture in the customer markets we are targeting, as well as our expectations relating to the recognition of revenue from these markets, and our ability to expand our relationships with partners in the markets we serve;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ability to align with increasing customer demand for geodiversity and supply chain resilience.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our current expectations and beliefs concerning future developments and their potential effects on us. There can be no assurance that future developments affecting us will be those that we have anticipated. These forward-looking statements, and the assumptions underlying such statements, involve a number of risks and uncertainties, some of which are beyond our control. These risks and uncertainties include, but are not limited to, those described in Part II, Item 1A. “Risk Factors” of this Quarterly Report on Form 10-Q. Should one or more of these risks or uncertainties materialize, or should any of our assumptions prove incorrect, actual results may differ materially from those projected in these forward-looking statements. We undertake no obligation to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6860"/>
                <wp:effectExtent l="0" t="0" r="0" b="0"/>
                <wp:wrapNone/>
                <wp:docPr id="4" name="Frame4"/>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center"/>
                        <w:rPr/>
                      </w:pPr>
                      <w:r>
                        <w:rPr/>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ENOVIX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par value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839"/>
        <w:gridCol w:w="2279"/>
        <w:gridCol w:w="2232"/>
        <w:gridCol w:w="211"/>
        <w:gridCol w:w="830"/>
        <w:gridCol w:w="109"/>
        <w:gridCol w:w="109"/>
        <w:gridCol w:w="109"/>
        <w:gridCol w:w="109"/>
        <w:gridCol w:w="243"/>
        <w:gridCol w:w="954"/>
        <w:gridCol w:w="181"/>
      </w:tblGrid>
      <w:tr>
        <w:trPr/>
        <w:tc>
          <w:tcPr>
            <w:tcW w:w="283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28,</w:t>
              <w:br/>
              <w:t>2025</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assets </w:t>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542,210 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 intangibles and other intangibles,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878,975 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compensation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current liabilities </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519,271 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non-current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non-current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604,964 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$0.0001 par value; authorized shares of 1,000,000,000; issued and outstanding shares of 219,195,932 and 216,556,238 as of July 5, 2026 and December 28, 2025, respectively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paid-in-capital </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Enovix’s stockholders’ equity </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271,214 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274,011 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equity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878,975 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8285"/>
                <wp:effectExtent l="0" t="0" r="0" b="0"/>
                <wp:wrapNone/>
                <wp:docPr id="5" name="Frame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16"/>
        <w:gridCol w:w="1191"/>
        <w:gridCol w:w="1191"/>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5"/>
      </w:tblGrid>
      <w:tr>
        <w:trPr/>
        <w:tc>
          <w:tcPr>
            <w:tcW w:w="16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88,496 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(43,296)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(87,191)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(86,293)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 of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(expense), net </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17,473 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benefit</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(43,518)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(45,127)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(81,905)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(68,820)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(67,797)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attributable to non-controlling interest</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Enovix</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(68,038)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Net loss per share attributable to Enovix shareholders, basic and diluted</w:t>
            </w:r>
            <w:r>
              <w:rPr>
                <w:rFonts w:ascii="Times New Roman;serif" w:hAnsi="Times New Roman;serif"/>
                <w:b w:val="false"/>
                <w:color w:val="000000"/>
                <w:sz w:val="13"/>
              </w:rPr>
              <w:t>(1)</w:t>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Weighted average number of common shares outstanding, basic and diluted</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218,502,098 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204,819,119 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217,908,465 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204,086,108 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rFonts w:ascii="Times New Roman;serif" w:hAnsi="Times New Roman;serif"/>
          <w:b w:val="false"/>
          <w:color w:val="000000"/>
          <w:sz w:val="13"/>
        </w:rPr>
      </w:pPr>
      <w:r>
        <w:rPr>
          <w:rFonts w:ascii="Times New Roman;serif" w:hAnsi="Times New Roman;serif"/>
          <w:b w:val="false"/>
          <w:color w:val="000000"/>
          <w:sz w:val="13"/>
        </w:rPr>
        <w:t>(1) As required by ASC 260, Earnings Per Share, the share and per share amounts presented in the above table for the fiscal quarter and fiscal year-to-date ended June 29, 2025 have been retroactively adjusted to reflect the warrant dividend issued in July 2025.</w:t>
      </w:r>
    </w:p>
    <w:p>
      <w:pPr>
        <w:pStyle w:val="TextBody"/>
        <w:bidi w:val="0"/>
        <w:spacing w:lineRule="auto" w:line="288" w:before="24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8285"/>
                <wp:effectExtent l="0" t="0" r="0" b="0"/>
                <wp:wrapNone/>
                <wp:docPr id="6" name="Frame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1"/>
        <w:gridCol w:w="1485"/>
        <w:gridCol w:w="1513"/>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216"/>
        <w:gridCol w:w="802"/>
        <w:gridCol w:w="161"/>
      </w:tblGrid>
      <w:tr>
        <w:trPr/>
        <w:tc>
          <w:tcPr>
            <w:tcW w:w="174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(67,797)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Times New Roman;serif" w:hAnsi="Times New Roman;serif"/>
                <w:b w:val="false"/>
                <w:color w:val="000000"/>
                <w:sz w:val="20"/>
              </w:rPr>
              <w:t>Change in net foreign currency translation adjustments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Times New Roman;serif" w:hAnsi="Times New Roman;serif"/>
                <w:b w:val="false"/>
                <w:color w:val="000000"/>
                <w:sz w:val="20"/>
              </w:rPr>
              <w:t>Net unrealized loss on available-for-sale securities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(expense), net of tax</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(43,251)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(44,473)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(82,242)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(68,045)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Enovix</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(43,237)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(44,735)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(82,230)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(68,286)</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8285"/>
                <wp:effectExtent l="0" t="0" r="0" b="0"/>
                <wp:wrapNone/>
                <wp:docPr id="7" name="Frame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3367" w:type="dxa"/>
        <w:jc w:val="center"/>
        <w:tblInd w:w="0" w:type="dxa"/>
        <w:tblLayout w:type="fixed"/>
        <w:tblCellMar>
          <w:top w:w="28" w:type="dxa"/>
          <w:left w:w="28" w:type="dxa"/>
          <w:bottom w:w="28" w:type="dxa"/>
          <w:right w:w="28" w:type="dxa"/>
        </w:tblCellMar>
      </w:tblPr>
      <w:tblGrid>
        <w:gridCol w:w="634"/>
        <w:gridCol w:w="268"/>
        <w:gridCol w:w="269"/>
        <w:gridCol w:w="533"/>
        <w:gridCol w:w="533"/>
        <w:gridCol w:w="181"/>
        <w:gridCol w:w="109"/>
        <w:gridCol w:w="109"/>
        <w:gridCol w:w="109"/>
        <w:gridCol w:w="196"/>
        <w:gridCol w:w="346"/>
        <w:gridCol w:w="109"/>
        <w:gridCol w:w="109"/>
        <w:gridCol w:w="109"/>
        <w:gridCol w:w="109"/>
        <w:gridCol w:w="196"/>
        <w:gridCol w:w="886"/>
        <w:gridCol w:w="109"/>
        <w:gridCol w:w="109"/>
        <w:gridCol w:w="109"/>
        <w:gridCol w:w="109"/>
        <w:gridCol w:w="196"/>
        <w:gridCol w:w="661"/>
        <w:gridCol w:w="109"/>
        <w:gridCol w:w="109"/>
        <w:gridCol w:w="109"/>
        <w:gridCol w:w="109"/>
        <w:gridCol w:w="235"/>
        <w:gridCol w:w="685"/>
        <w:gridCol w:w="131"/>
        <w:gridCol w:w="109"/>
        <w:gridCol w:w="109"/>
        <w:gridCol w:w="109"/>
        <w:gridCol w:w="196"/>
        <w:gridCol w:w="886"/>
        <w:gridCol w:w="109"/>
        <w:gridCol w:w="109"/>
        <w:gridCol w:w="109"/>
        <w:gridCol w:w="109"/>
        <w:gridCol w:w="196"/>
        <w:gridCol w:w="751"/>
        <w:gridCol w:w="109"/>
        <w:gridCol w:w="109"/>
        <w:gridCol w:w="109"/>
        <w:gridCol w:w="109"/>
        <w:gridCol w:w="251"/>
        <w:gridCol w:w="733"/>
        <w:gridCol w:w="142"/>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5"/>
              </w:rPr>
              <w:t>Common stock</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Balance as of December 28, 2025</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216,556,238</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1,307,912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(58,385)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(508)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(977,827)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271,214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2,797</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274,011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(38,260)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(38,260)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(38,258)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4,730 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RSU vested, net of shares withheld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1,137,371 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additional Routejade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(740)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10,114 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10,114 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10,114 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Balance as of April 5, 2026</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217,698,339</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1,316,363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(58,385)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(1,241)</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(1,016,087)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240,672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2,058</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242,730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(43,063)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(43,063)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(43,077)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under employee stock purchase plan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167,535 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RSUs vested, net of shares withheld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1,330,058 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(174)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Balance as of July 5, 2026</w:t>
            </w:r>
          </w:p>
        </w:tc>
        <w:tc>
          <w:tcPr>
            <w:tcW w:w="10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219,195,932</w:t>
            </w:r>
            <w:r>
              <w:rPr>
                <w:color w:val="000000"/>
              </w:rPr>
              <w:t>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1,328,872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(58,385)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(1,415)</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(1,059,150)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209,945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2,044</w:t>
            </w:r>
            <w:r>
              <w:rPr>
                <w:color w:val="000000"/>
              </w:rPr>
              <w:t>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211,989</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tbl>
      <w:tblPr>
        <w:tblW w:w="12977" w:type="dxa"/>
        <w:jc w:val="center"/>
        <w:tblInd w:w="0" w:type="dxa"/>
        <w:tblLayout w:type="fixed"/>
        <w:tblCellMar>
          <w:top w:w="28" w:type="dxa"/>
          <w:left w:w="28" w:type="dxa"/>
          <w:bottom w:w="28" w:type="dxa"/>
          <w:right w:w="28" w:type="dxa"/>
        </w:tblCellMar>
      </w:tblPr>
      <w:tblGrid>
        <w:gridCol w:w="634"/>
        <w:gridCol w:w="268"/>
        <w:gridCol w:w="269"/>
        <w:gridCol w:w="533"/>
        <w:gridCol w:w="533"/>
        <w:gridCol w:w="181"/>
        <w:gridCol w:w="109"/>
        <w:gridCol w:w="109"/>
        <w:gridCol w:w="109"/>
        <w:gridCol w:w="196"/>
        <w:gridCol w:w="346"/>
        <w:gridCol w:w="109"/>
        <w:gridCol w:w="109"/>
        <w:gridCol w:w="109"/>
        <w:gridCol w:w="109"/>
        <w:gridCol w:w="196"/>
        <w:gridCol w:w="886"/>
        <w:gridCol w:w="109"/>
        <w:gridCol w:w="109"/>
        <w:gridCol w:w="109"/>
        <w:gridCol w:w="109"/>
        <w:gridCol w:w="196"/>
        <w:gridCol w:w="406"/>
        <w:gridCol w:w="109"/>
        <w:gridCol w:w="109"/>
        <w:gridCol w:w="109"/>
        <w:gridCol w:w="109"/>
        <w:gridCol w:w="277"/>
        <w:gridCol w:w="618"/>
        <w:gridCol w:w="156"/>
        <w:gridCol w:w="109"/>
        <w:gridCol w:w="109"/>
        <w:gridCol w:w="109"/>
        <w:gridCol w:w="196"/>
        <w:gridCol w:w="751"/>
        <w:gridCol w:w="109"/>
        <w:gridCol w:w="109"/>
        <w:gridCol w:w="109"/>
        <w:gridCol w:w="109"/>
        <w:gridCol w:w="196"/>
        <w:gridCol w:w="751"/>
        <w:gridCol w:w="109"/>
        <w:gridCol w:w="109"/>
        <w:gridCol w:w="109"/>
        <w:gridCol w:w="109"/>
        <w:gridCol w:w="251"/>
        <w:gridCol w:w="733"/>
        <w:gridCol w:w="142"/>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br/>
              <w:t>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Balance as of December 29, 2024</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190,559,335</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1,067,951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(143)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(821,086)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246,741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2,662</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249,403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(23,531)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upon exercise of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81,621 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RSU vested, net of shares withheld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1,074,758 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early exercised stock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unvested restricted common stock</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(597)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12,931 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Balance as of March 30, 2025</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191,715,117</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1,079,904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(184)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color w:val="000000"/>
                <w:sz w:val="17"/>
              </w:rPr>
            </w:pPr>
            <w:r>
              <w:rPr>
                <w:rFonts w:ascii="Times New Roman;serif" w:hAnsi="Times New Roman;serif"/>
                <w:b/>
                <w:color w:val="000000"/>
                <w:sz w:val="17"/>
              </w:rPr>
              <w:t>(844,596)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235,143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2,641</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2" w:before="0" w:after="283"/>
              <w:jc w:val="right"/>
              <w:rPr/>
            </w:pPr>
            <w:r>
              <w:rPr>
                <w:rFonts w:ascii="Times New Roman;serif" w:hAnsi="Times New Roman;serif"/>
                <w:b/>
                <w:color w:val="000000"/>
                <w:sz w:val="17"/>
              </w:rPr>
              <w:t>237,784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(44,528)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(44,528)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(44,266)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under employee stock purchase plan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129,038 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RSUs vested, net of shares withheld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1,113,668 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13,722 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 net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serif" w:hAnsi="Times New Roman;serif"/>
                <w:b w:val="false"/>
                <w:color w:val="000000"/>
                <w:sz w:val="17"/>
              </w:rPr>
            </w:pPr>
            <w:r>
              <w:rPr>
                <w:rFonts w:ascii="Times New Roman;serif" w:hAnsi="Times New Roman;serif"/>
                <w:b w:val="false"/>
                <w:color w:val="000000"/>
                <w:sz w:val="17"/>
              </w:rPr>
              <w:t>(207)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Balance as of June 29, 2025</w:t>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192,957,823</w:t>
            </w:r>
            <w:r>
              <w:rPr>
                <w:color w:val="000000"/>
              </w:rPr>
              <w:t>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1,093,245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(391)</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color w:val="000000"/>
                <w:sz w:val="17"/>
              </w:rPr>
            </w:pPr>
            <w:r>
              <w:rPr>
                <w:rFonts w:ascii="Times New Roman;serif" w:hAnsi="Times New Roman;serif"/>
                <w:b/>
                <w:color w:val="000000"/>
                <w:sz w:val="17"/>
              </w:rPr>
              <w:t>(889,124)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203,749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2,903</w:t>
            </w:r>
            <w:r>
              <w:rPr>
                <w:color w:val="000000"/>
              </w:rPr>
              <w:t>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pPr>
            <w:r>
              <w:rPr>
                <w:rFonts w:ascii="Times New Roman;serif" w:hAnsi="Times New Roman;serif"/>
                <w:b/>
                <w:color w:val="000000"/>
                <w:sz w:val="17"/>
              </w:rPr>
              <w:t>206,652</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8285"/>
                <wp:effectExtent l="0" t="0" r="0" b="0"/>
                <wp:wrapNone/>
                <wp:docPr id="8" name="Frame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9069" w:type="dxa"/>
        <w:jc w:val="center"/>
        <w:tblInd w:w="0" w:type="dxa"/>
        <w:tblLayout w:type="fixed"/>
        <w:tblCellMar>
          <w:top w:w="28" w:type="dxa"/>
          <w:left w:w="28" w:type="dxa"/>
          <w:bottom w:w="28" w:type="dxa"/>
          <w:right w:w="28" w:type="dxa"/>
        </w:tblCellMar>
      </w:tblPr>
      <w:tblGrid>
        <w:gridCol w:w="2326"/>
        <w:gridCol w:w="2047"/>
        <w:gridCol w:w="2062"/>
        <w:gridCol w:w="211"/>
        <w:gridCol w:w="796"/>
        <w:gridCol w:w="109"/>
        <w:gridCol w:w="109"/>
        <w:gridCol w:w="109"/>
        <w:gridCol w:w="109"/>
        <w:gridCol w:w="211"/>
        <w:gridCol w:w="82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used in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accretion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(54,853)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(42,766)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business acquisition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(230,074)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(91,089)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loan borrowing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payments for shares withheld upon vesting of RSUs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Routejade shares from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transaction costs related to common stock issuance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(2,685)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(136,642)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138,049 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8285"/>
                <wp:effectExtent l="0" t="0" r="0" b="0"/>
                <wp:wrapNone/>
                <wp:docPr id="9" name="Frame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7238" w:type="dxa"/>
        <w:jc w:val="left"/>
        <w:tblInd w:w="0" w:type="dxa"/>
        <w:tblLayout w:type="fixed"/>
        <w:tblCellMar>
          <w:top w:w="28" w:type="dxa"/>
          <w:left w:w="28" w:type="dxa"/>
          <w:bottom w:w="28" w:type="dxa"/>
          <w:right w:w="28" w:type="dxa"/>
        </w:tblCellMar>
      </w:tblPr>
      <w:tblGrid>
        <w:gridCol w:w="1771"/>
        <w:gridCol w:w="1555"/>
        <w:gridCol w:w="1563"/>
        <w:gridCol w:w="211"/>
        <w:gridCol w:w="721"/>
        <w:gridCol w:w="109"/>
        <w:gridCol w:w="109"/>
        <w:gridCol w:w="109"/>
        <w:gridCol w:w="109"/>
        <w:gridCol w:w="211"/>
        <w:gridCol w:w="616"/>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included in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326"/>
        <w:jc w:val="both"/>
        <w:rPr>
          <w:rFonts w:ascii="Times New Roman;serif" w:hAnsi="Times New Roman;serif"/>
          <w:b w:val="false"/>
          <w:color w:val="000000"/>
          <w:sz w:val="20"/>
        </w:rPr>
      </w:pPr>
      <w:r>
        <w:rPr>
          <w:rFonts w:ascii="Times New Roman;serif" w:hAnsi="Times New Roman;serif"/>
          <w:b w:val="false"/>
          <w:color w:val="000000"/>
          <w:sz w:val="20"/>
        </w:rPr>
        <w:t>The following presents our cash, cash equivalents and restricted cash by category in the Condensed Consolidated Balance Sheets:</w:t>
      </w:r>
    </w:p>
    <w:tbl>
      <w:tblPr>
        <w:tblW w:w="10205" w:type="dxa"/>
        <w:jc w:val="left"/>
        <w:tblInd w:w="0" w:type="dxa"/>
        <w:tblLayout w:type="fixed"/>
        <w:tblCellMar>
          <w:top w:w="28" w:type="dxa"/>
          <w:left w:w="28" w:type="dxa"/>
          <w:bottom w:w="28" w:type="dxa"/>
          <w:right w:w="28" w:type="dxa"/>
        </w:tblCellMar>
      </w:tblPr>
      <w:tblGrid>
        <w:gridCol w:w="2742"/>
        <w:gridCol w:w="2406"/>
        <w:gridCol w:w="2420"/>
        <w:gridCol w:w="215"/>
        <w:gridCol w:w="737"/>
        <w:gridCol w:w="110"/>
        <w:gridCol w:w="109"/>
        <w:gridCol w:w="109"/>
        <w:gridCol w:w="109"/>
        <w:gridCol w:w="219"/>
        <w:gridCol w:w="862"/>
        <w:gridCol w:w="167"/>
      </w:tblGrid>
      <w:tr>
        <w:trPr/>
        <w:tc>
          <w:tcPr>
            <w:tcW w:w="2742"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29,</w:t>
              <w:br/>
              <w:t>2025</w:t>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33,741 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135,978 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other current assets and other assets, non-current</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35,594 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138,049 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8285"/>
                <wp:effectExtent l="0" t="0" r="0" b="0"/>
                <wp:wrapNone/>
                <wp:docPr id="10" name="Frame1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Basis of Presentation</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Organization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Enovix Corporation was incorporated in Delaware in 2006</w:t>
      </w:r>
      <w:r>
        <w:rPr>
          <w:rFonts w:ascii="Times New Roman;serif" w:hAnsi="Times New Roman;serif"/>
          <w:b w:val="false"/>
          <w:color w:val="000000"/>
          <w:sz w:val="20"/>
          <w:shd w:fill="FFFFFF" w:val="clear"/>
        </w:rPr>
        <w:t xml:space="preserve">. All references to “Enovix,” “we,” “us,” “our,” or the “Company” mean Enovix Corporation and its subsidiaries. </w:t>
      </w:r>
      <w:r>
        <w:rPr>
          <w:rFonts w:ascii="Times New Roman;serif" w:hAnsi="Times New Roman;serif"/>
          <w:b w:val="false"/>
          <w:color w:val="000000"/>
          <w:sz w:val="20"/>
        </w:rPr>
        <w:t>We design, develop, manufacture and commercialize next generation Lithium-ion, or Li-ion, battery cells that significantly increase the amount of energy density and storage capacity relative to conventional battery cells. Our batteries’ mechanical design, or “architecture,” allows us to use high performance chemistries while enabling safety and charge time advantages. Enovix is headquartered in Silicon Valley, a region of California, with offices and facilities in Asia.</w:t>
      </w:r>
    </w:p>
    <w:p>
      <w:pPr>
        <w:pStyle w:val="TextBody"/>
        <w:bidi w:val="0"/>
        <w:spacing w:lineRule="auto" w:line="256" w:before="160" w:after="283"/>
        <w:jc w:val="both"/>
        <w:rPr>
          <w:rFonts w:ascii="Times New Roman;serif" w:hAnsi="Times New Roman;serif"/>
          <w:b/>
          <w:color w:val="000000"/>
          <w:sz w:val="20"/>
        </w:rPr>
      </w:pPr>
      <w:r>
        <w:rPr>
          <w:rFonts w:ascii="Times New Roman;serif" w:hAnsi="Times New Roman;serif"/>
          <w:b/>
          <w:color w:val="000000"/>
          <w:sz w:val="20"/>
        </w:rPr>
        <w:t>Fiscal Year</w:t>
      </w:r>
    </w:p>
    <w:p>
      <w:pPr>
        <w:pStyle w:val="TextBody"/>
        <w:bidi w:val="0"/>
        <w:spacing w:lineRule="auto" w:line="256" w:before="160" w:after="283"/>
        <w:ind w:left="0" w:right="0" w:firstLine="360"/>
        <w:jc w:val="both"/>
        <w:rPr/>
      </w:pPr>
      <w:r>
        <w:rPr>
          <w:rFonts w:ascii="Times New Roman;serif" w:hAnsi="Times New Roman;serif"/>
          <w:b w:val="false"/>
          <w:color w:val="000000"/>
          <w:sz w:val="20"/>
        </w:rPr>
        <w:t>Our fiscal year is the 52 or 53-week period ending on the Sunday closest to December 31 depending on the calendar year.</w:t>
      </w:r>
      <w:r>
        <w:rPr>
          <w:color w:val="000000"/>
        </w:rPr>
        <w:t xml:space="preserve"> </w:t>
      </w:r>
      <w:r>
        <w:rPr>
          <w:rFonts w:ascii="Times New Roman;serif" w:hAnsi="Times New Roman;serif"/>
          <w:b w:val="false"/>
          <w:color w:val="000000"/>
          <w:sz w:val="20"/>
        </w:rPr>
        <w:t>Accordingly, we will have a 53-week fiscal year every five or six years. Our fiscal year 2026 consists of 53 weeks, which will end on January 3, 2027, while our fiscal year 2025 consisted of 52 weeks, which ended on December 28, 2025. All period references are to the fiscal periods unless otherwise indicated.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are presented in accordance with accounting principles generally accepted in the United States (“GAAP”). The condensed consolidated financial statements include our accounts, our wholly-owned subsidiaries and majority-owned subsidiaries and the business combinations from the closing dates. All intercompany balances and transactions have been eliminated in consolidation.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operating losses and negative cash flows from operations since our inception through July 5, 2026 and expect to incur operating losses for the foreseeable future. As of July 5, 2026, we had working capital of $453.6 million and an accumulated deficit of $1.06 billion. Based on the anticipated spending and timing of expenditures, we currently expect that our cash will be sufficient to meet our funding requirements over the next twelve months. Going forward, we may require additional financing for our future operations and expansion. The accompanying condensed consolidated financial statements have been prepared assuming we will continue as a going concern, which contemplates the realization of assets and satisfaction of liabilities in the normal course of business.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Unaudited Interim Condensed Consolidated Financial Statements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accompanying unaudited condensed consolidated financial statements have been prepared pursuant to the rules and regulations of the U.S. Securities and Exchange Commission (“SEC”) for interim financial reporting. In the opinion of management, these unaudited condensed consolidated financial statements reflect all adjustments, consisting of normal recurring items, considered necessary to present fairly our financial condition, results of operations, comprehensive income (loss), stockholders’ equity and cash flows for the periods presented above. The results of operations for the fiscal quarter and fiscal year-to-date ended July 5, 2026 are not necessarily indicative of the operating results for the full year, and therefore should not be relied upon as an indicator of future results. The Condensed Consolidated Balance Sheet as of December 28, 2025 included herein was derived from the audited consolidated financial statements as of that date and the accompanying consolidated financial statements and related notes are included in our Annual Report on Form 10-K for the fiscal year ended December 28, 2025 (“Annual Report on Form 10-K”).</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in the condensed consolidated financial statements and accompanying notes during the reporting periods. Estimates and assumptions include but are not limited to: depreciable lives for property and equipment and intangible assets, valuation for inventory, valuation allowance on deferred tax assets, assumptions used in income tax provisions, assumptions used in stock-based compensation, incremental borrowing rate for operating right-of-use assets and lease liabilities and estimates to fair value common stock warrants. Management bases its estimates on historical experience and on various other market-specific and relevant assumptions that it believes to be reasonable under the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8285"/>
                <wp:effectExtent l="0" t="0" r="0" b="0"/>
                <wp:wrapNone/>
                <wp:docPr id="11" name="Frame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our significant accounting policies disclosed in Note 2 “Summary of Significant Accounting Policies,” of the notes to the consolidated financial statements for the fiscal year ended December 28, 2025, included in Part II, Item 8 of our Annual Report on Form 10-K.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one segment. Operating segments are identified as components of an enterprise about which separate discrete financial information is available for evaluation by the chief operating decision maker (“CODM”) in making decisions regarding resource allocation and assessing performance. Our Chief Executive Officer (“CEO”) has been identified as our CODM, who reviews operating results to make decisions and assesses performance for the Company as a whole. Total available cash and cash equivalents, total revenues and net loss are used by our CEO to evaluate key operating decisions, such as company strategy, and determine and allocate resources on a consolidated basis. Since we operate in one segment, all significant segment expenses and financial information required by “Segment Reporting” can be found in the condensed consolidated financial statements and the accompanying notes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recognize revenue in accordance with Accounting Standards Codification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generate revenue from selling lithium-ion batteries or battery packs to commercial customers and military contractors. Product revenue is recognized once we have satisfied the performance obligations as defined in the sales agreement, which is generally satisfied upon transfer of control of goods. Control is transferred upon delivery for our products. For certain customized products with customer acceptance criteria specified in the sales agreement, the performance obligations are generally satisfied upon our customer’s acceptance. Payment terms can vary depending on the contract and it is generally required within 90 days or less from the delivery date or the acceptance date of our product. The amounts of revenue recognized reflect the consideration for the product sold.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revenues by geographic areas based on the billing location of the customers (in thousands).</w:t>
      </w:r>
    </w:p>
    <w:tbl>
      <w:tblPr>
        <w:tblW w:w="9596" w:type="dxa"/>
        <w:jc w:val="left"/>
        <w:tblInd w:w="0" w:type="dxa"/>
        <w:tblLayout w:type="fixed"/>
        <w:tblCellMar>
          <w:top w:w="28" w:type="dxa"/>
          <w:left w:w="28" w:type="dxa"/>
          <w:bottom w:w="28" w:type="dxa"/>
          <w:right w:w="28" w:type="dxa"/>
        </w:tblCellMar>
      </w:tblPr>
      <w:tblGrid>
        <w:gridCol w:w="369"/>
        <w:gridCol w:w="325"/>
        <w:gridCol w:w="326"/>
        <w:gridCol w:w="196"/>
        <w:gridCol w:w="556"/>
        <w:gridCol w:w="109"/>
        <w:gridCol w:w="109"/>
        <w:gridCol w:w="109"/>
        <w:gridCol w:w="109"/>
        <w:gridCol w:w="209"/>
        <w:gridCol w:w="212"/>
        <w:gridCol w:w="256"/>
        <w:gridCol w:w="109"/>
        <w:gridCol w:w="109"/>
        <w:gridCol w:w="109"/>
        <w:gridCol w:w="196"/>
        <w:gridCol w:w="556"/>
        <w:gridCol w:w="109"/>
        <w:gridCol w:w="109"/>
        <w:gridCol w:w="109"/>
        <w:gridCol w:w="109"/>
        <w:gridCol w:w="209"/>
        <w:gridCol w:w="212"/>
        <w:gridCol w:w="256"/>
        <w:gridCol w:w="109"/>
        <w:gridCol w:w="109"/>
        <w:gridCol w:w="109"/>
        <w:gridCol w:w="196"/>
        <w:gridCol w:w="646"/>
        <w:gridCol w:w="109"/>
        <w:gridCol w:w="109"/>
        <w:gridCol w:w="109"/>
        <w:gridCol w:w="109"/>
        <w:gridCol w:w="209"/>
        <w:gridCol w:w="212"/>
        <w:gridCol w:w="256"/>
        <w:gridCol w:w="109"/>
        <w:gridCol w:w="109"/>
        <w:gridCol w:w="109"/>
        <w:gridCol w:w="196"/>
        <w:gridCol w:w="556"/>
        <w:gridCol w:w="109"/>
        <w:gridCol w:w="109"/>
        <w:gridCol w:w="109"/>
        <w:gridCol w:w="109"/>
        <w:gridCol w:w="209"/>
        <w:gridCol w:w="212"/>
        <w:gridCol w:w="301"/>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Years-to-Date Ended</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2025</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Korea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9,024 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7,468 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16,624 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60" w:after="283"/>
        <w:jc w:val="both"/>
        <w:rPr>
          <w:rFonts w:ascii="Times New Roman;serif" w:hAnsi="Times New Roman;serif"/>
          <w:b w:val="false"/>
          <w:color w:val="000000"/>
          <w:sz w:val="16"/>
        </w:rPr>
      </w:pPr>
      <w:r>
        <w:rPr>
          <w:rFonts w:ascii="Times New Roman;serif" w:hAnsi="Times New Roman;serif"/>
          <w:b w:val="false"/>
          <w:color w:val="000000"/>
          <w:sz w:val="16"/>
        </w:rPr>
        <w:t>* No other country represented more than 10% of revenue for the periods presented.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significant customers.</w:t>
      </w:r>
    </w:p>
    <w:tbl>
      <w:tblPr>
        <w:tblW w:w="5779" w:type="dxa"/>
        <w:jc w:val="left"/>
        <w:tblInd w:w="0" w:type="dxa"/>
        <w:tblLayout w:type="fixed"/>
        <w:tblCellMar>
          <w:top w:w="28" w:type="dxa"/>
          <w:left w:w="28" w:type="dxa"/>
          <w:bottom w:w="28" w:type="dxa"/>
          <w:right w:w="28" w:type="dxa"/>
        </w:tblCellMar>
      </w:tblPr>
      <w:tblGrid>
        <w:gridCol w:w="359"/>
        <w:gridCol w:w="315"/>
        <w:gridCol w:w="316"/>
        <w:gridCol w:w="171"/>
        <w:gridCol w:w="171"/>
        <w:gridCol w:w="403"/>
        <w:gridCol w:w="171"/>
        <w:gridCol w:w="171"/>
        <w:gridCol w:w="171"/>
        <w:gridCol w:w="171"/>
        <w:gridCol w:w="171"/>
        <w:gridCol w:w="403"/>
        <w:gridCol w:w="109"/>
        <w:gridCol w:w="109"/>
        <w:gridCol w:w="109"/>
        <w:gridCol w:w="203"/>
        <w:gridCol w:w="203"/>
        <w:gridCol w:w="476"/>
        <w:gridCol w:w="203"/>
        <w:gridCol w:w="203"/>
        <w:gridCol w:w="203"/>
        <w:gridCol w:w="203"/>
        <w:gridCol w:w="203"/>
        <w:gridCol w:w="56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Years-to-Date Ended</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2026</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2025</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34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03"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03"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7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 other customer represented more than 10% of revenue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8285"/>
                <wp:effectExtent l="0" t="0" r="0" b="0"/>
                <wp:wrapNone/>
                <wp:docPr id="12" name="Frame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Recently Issued or Adopted Accounting Pronouncements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Adoption of New Accounting Standards</w:t>
      </w:r>
    </w:p>
    <w:p>
      <w:pPr>
        <w:pStyle w:val="TextBody"/>
        <w:bidi w:val="0"/>
        <w:spacing w:lineRule="auto" w:line="268" w:before="160" w:after="283"/>
        <w:ind w:left="0" w:right="0" w:firstLine="36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Measurement of Credit Losses for Accounts Receivable and Contract Assets</w:t>
      </w:r>
      <w:r>
        <w:rPr>
          <w:rFonts w:ascii="Times New Roman;serif" w:hAnsi="Times New Roman;serif"/>
          <w:b w:val="false"/>
          <w:color w:val="000000"/>
          <w:sz w:val="20"/>
        </w:rPr>
        <w:t>, which simplifies the application of the current expected credit loss model for current accounts receivable and current contract assets under ASC 606. This ASU is effective for annual reporting periods beginning after December 15, 2025, and interim reporting periods within those annual reporting periods. Early adoption is permitted. We adopted this ASU prospectively, effective with our fiscal 2026 interim financial statements and the adoption did not have a material impact on our condensed consolidated financial statements and disclosures.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Accounting Standard Issued But Not Yet Adopted</w:t>
      </w:r>
    </w:p>
    <w:p>
      <w:pPr>
        <w:pStyle w:val="TextBody"/>
        <w:bidi w:val="0"/>
        <w:spacing w:lineRule="auto" w:line="268" w:before="160" w:after="283"/>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color w:val="000000"/>
          <w:sz w:val="20"/>
        </w:rPr>
        <w:t>which requires disclosure of certain costs and expenses on an interim and annual basis in the notes to the financial statements. The standard is effective for the annual reporting periods beginning after December 15, 2026 and interim periods beginning after December 15, 2027, with early adoption permitted. We are currently evaluating the potential impact of the adoption of this ASU on our financial statement disclosures.</w:t>
      </w:r>
    </w:p>
    <w:p>
      <w:pPr>
        <w:pStyle w:val="TextBody"/>
        <w:bidi w:val="0"/>
        <w:spacing w:lineRule="auto" w:line="268" w:before="160" w:after="283"/>
        <w:ind w:left="0" w:right="0" w:firstLine="360"/>
        <w:jc w:val="both"/>
        <w:rPr/>
      </w:pPr>
      <w:r>
        <w:rPr>
          <w:rFonts w:ascii="Times New Roman;serif" w:hAnsi="Times New Roman;serif"/>
          <w:b w:val="false"/>
          <w:color w:val="000000"/>
          <w:sz w:val="20"/>
        </w:rPr>
        <w:t>In September 2025, the FASB issued ASU 2025-06,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3. Fair Value Measurement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fair value of our financial assets and liabilities are determined in accordance with the fair value hierarchy established in 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issued by the FASB. The fair value hierarchy of ASC 820 requires an entity to maximize the use of observable inputs when measuring fair value and classifies those inputs into three levels:</w:t>
      </w:r>
    </w:p>
    <w:tbl>
      <w:tblPr>
        <w:tblW w:w="10205" w:type="dxa"/>
        <w:jc w:val="left"/>
        <w:tblInd w:w="0" w:type="dxa"/>
        <w:tblLayout w:type="fixed"/>
        <w:tblCellMar>
          <w:top w:w="28" w:type="dxa"/>
          <w:left w:w="28" w:type="dxa"/>
          <w:bottom w:w="28" w:type="dxa"/>
          <w:right w:w="28" w:type="dxa"/>
        </w:tblCellMar>
      </w:tblPr>
      <w:tblGrid>
        <w:gridCol w:w="238"/>
        <w:gridCol w:w="209"/>
        <w:gridCol w:w="211"/>
        <w:gridCol w:w="2821"/>
        <w:gridCol w:w="2782"/>
        <w:gridCol w:w="3944"/>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547" w:type="dxa"/>
            <w:gridSpan w:val="3"/>
            <w:tcBorders/>
            <w:tcMar>
              <w:top w:w="0" w:type="dxa"/>
              <w:left w:w="0" w:type="dxa"/>
              <w:bottom w:w="0" w:type="dxa"/>
              <w:right w:w="0" w:type="dxa"/>
            </w:tcMar>
            <w:vAlign w:val="center"/>
          </w:tcPr>
          <w:p>
            <w:pPr>
              <w:pStyle w:val="TableContents"/>
              <w:bidi w:val="0"/>
              <w:spacing w:lineRule="auto" w:line="312" w:before="0" w:after="283"/>
              <w:jc w:val="both"/>
              <w:rPr>
                <w:rFonts w:ascii="Times New Roman;serif" w:hAnsi="Times New Roman;serif"/>
                <w:b w:val="false"/>
                <w:color w:val="000000"/>
                <w:sz w:val="20"/>
              </w:rPr>
            </w:pPr>
            <w:r>
              <w:rPr>
                <w:rFonts w:ascii="Times New Roman;serif" w:hAnsi="Times New Roman;serif"/>
                <w:b w:val="false"/>
                <w:color w:val="000000"/>
                <w:sz w:val="20"/>
              </w:rPr>
              <w:t>Observable inputs, such as quoted prices (unadjusted) in active markets for identical assets or liabilities at the measurement date.</w:t>
            </w:r>
          </w:p>
        </w:tc>
      </w:tr>
      <w:tr>
        <w:trPr/>
        <w:tc>
          <w:tcPr>
            <w:tcW w:w="65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547" w:type="dxa"/>
            <w:gridSpan w:val="3"/>
            <w:tcBorders/>
            <w:tcMar>
              <w:top w:w="0" w:type="dxa"/>
              <w:left w:w="0" w:type="dxa"/>
              <w:bottom w:w="0" w:type="dxa"/>
              <w:right w:w="0" w:type="dxa"/>
            </w:tcMar>
            <w:vAlign w:val="center"/>
          </w:tcPr>
          <w:p>
            <w:pPr>
              <w:pStyle w:val="TableContents"/>
              <w:bidi w:val="0"/>
              <w:spacing w:lineRule="auto" w:line="312" w:before="0" w:after="283"/>
              <w:jc w:val="both"/>
              <w:rPr>
                <w:rFonts w:ascii="Times New Roman;serif" w:hAnsi="Times New Roman;serif"/>
                <w:b w:val="false"/>
                <w:color w:val="000000"/>
                <w:sz w:val="20"/>
              </w:rPr>
            </w:pPr>
            <w:r>
              <w:rPr>
                <w:rFonts w:ascii="Times New Roman;serif" w:hAnsi="Times New Roman;serif"/>
                <w:b w:val="false"/>
                <w:color w:val="000000"/>
                <w:sz w:val="20"/>
              </w:rPr>
              <w:t>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tc>
      </w:tr>
      <w:tr>
        <w:trPr/>
        <w:tc>
          <w:tcPr>
            <w:tcW w:w="65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547" w:type="dxa"/>
            <w:gridSpan w:val="3"/>
            <w:tcBorders/>
            <w:tcMar>
              <w:top w:w="0" w:type="dxa"/>
              <w:left w:w="0" w:type="dxa"/>
              <w:bottom w:w="0" w:type="dxa"/>
              <w:right w:w="0" w:type="dxa"/>
            </w:tcMar>
            <w:vAlign w:val="center"/>
          </w:tcPr>
          <w:p>
            <w:pPr>
              <w:pStyle w:val="TableContents"/>
              <w:bidi w:val="0"/>
              <w:spacing w:lineRule="auto" w:line="312" w:before="0" w:after="283"/>
              <w:jc w:val="both"/>
              <w:rPr>
                <w:rFonts w:ascii="Times New Roman;serif" w:hAnsi="Times New Roman;serif"/>
                <w:b w:val="false"/>
                <w:color w:val="000000"/>
                <w:sz w:val="20"/>
              </w:rPr>
            </w:pPr>
            <w:r>
              <w:rPr>
                <w:rFonts w:ascii="Times New Roman;serif" w:hAnsi="Times New Roman;serif"/>
                <w:b w:val="false"/>
                <w:color w:val="000000"/>
                <w:sz w:val="20"/>
              </w:rPr>
              <w:t>Unobservable inputs that are supported by little or no market activity and that are significant to the fair value of the assets or liabilities.</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financial instruments consist primarily of cash and cash equivalents, short-term investments, accounts receivable, notes receivable, accounts payable, short-term and long-term debt, and warrant liabilities. Cash and cash equivalents are reported at their respective fair values on our Condensed Consolidated Balance Sheets. As of July 5, 2026 and December 28, 2025, the carrying values of accounts and notes receivables, accounts payable, short-term debt and accrued liabilities approximated the fair value based on the short maturity of those instruments. As of July 5, 2026 and December 28, 2025, we had cash and cash equivalents of $33.7 million and $106.0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8285"/>
                <wp:effectExtent l="0" t="0" r="0" b="0"/>
                <wp:wrapNone/>
                <wp:docPr id="13" name="Frame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following table details the fair value measurements of assets and liabilities that were measured at fair value on a recurring basis based on the following three-tiered fair value hierarchy per ASC 820,</w:t>
      </w:r>
      <w:r>
        <w:rPr>
          <w:color w:val="000000"/>
        </w:rPr>
        <w:t xml:space="preserve">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as of July 5, 2026 and December 28, 2025 (in thousands). </w:t>
      </w:r>
    </w:p>
    <w:tbl>
      <w:tblPr>
        <w:tblW w:w="8861" w:type="dxa"/>
        <w:jc w:val="left"/>
        <w:tblInd w:w="0" w:type="dxa"/>
        <w:tblLayout w:type="fixed"/>
        <w:tblCellMar>
          <w:top w:w="28" w:type="dxa"/>
          <w:left w:w="28" w:type="dxa"/>
          <w:bottom w:w="28" w:type="dxa"/>
          <w:right w:w="28" w:type="dxa"/>
        </w:tblCellMar>
      </w:tblPr>
      <w:tblGrid>
        <w:gridCol w:w="1245"/>
        <w:gridCol w:w="1099"/>
        <w:gridCol w:w="1105"/>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Measurement using </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As of July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238,346 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178,392 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516,470 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529,323 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071" w:type="dxa"/>
        <w:jc w:val="left"/>
        <w:tblInd w:w="0" w:type="dxa"/>
        <w:tblLayout w:type="fixed"/>
        <w:tblCellMar>
          <w:top w:w="28" w:type="dxa"/>
          <w:left w:w="28" w:type="dxa"/>
          <w:bottom w:w="28" w:type="dxa"/>
          <w:right w:w="28" w:type="dxa"/>
        </w:tblCellMar>
      </w:tblPr>
      <w:tblGrid>
        <w:gridCol w:w="1249"/>
        <w:gridCol w:w="1099"/>
        <w:gridCol w:w="1101"/>
        <w:gridCol w:w="109"/>
        <w:gridCol w:w="109"/>
        <w:gridCol w:w="109"/>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Measurement using </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As of 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315,581 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512,836 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557,115 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8285"/>
                <wp:effectExtent l="0" t="0" r="0" b="0"/>
                <wp:wrapNone/>
                <wp:docPr id="14" name="Frame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Cash Equivalents and Short-term Investments: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cash equivalents and short-term investments (in thousands).</w:t>
      </w:r>
    </w:p>
    <w:tbl>
      <w:tblPr>
        <w:tblW w:w="10857" w:type="dxa"/>
        <w:jc w:val="left"/>
        <w:tblInd w:w="0" w:type="dxa"/>
        <w:tblLayout w:type="fixed"/>
        <w:tblCellMar>
          <w:top w:w="28" w:type="dxa"/>
          <w:left w:w="28" w:type="dxa"/>
          <w:bottom w:w="28" w:type="dxa"/>
          <w:right w:w="28" w:type="dxa"/>
        </w:tblCellMar>
      </w:tblPr>
      <w:tblGrid>
        <w:gridCol w:w="838"/>
        <w:gridCol w:w="143"/>
        <w:gridCol w:w="145"/>
        <w:gridCol w:w="109"/>
        <w:gridCol w:w="109"/>
        <w:gridCol w:w="109"/>
        <w:gridCol w:w="211"/>
        <w:gridCol w:w="826"/>
        <w:gridCol w:w="109"/>
        <w:gridCol w:w="109"/>
        <w:gridCol w:w="109"/>
        <w:gridCol w:w="109"/>
        <w:gridCol w:w="237"/>
        <w:gridCol w:w="525"/>
        <w:gridCol w:w="124"/>
        <w:gridCol w:w="109"/>
        <w:gridCol w:w="109"/>
        <w:gridCol w:w="109"/>
        <w:gridCol w:w="233"/>
        <w:gridCol w:w="532"/>
        <w:gridCol w:w="121"/>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8"/>
              </w:rPr>
            </w:pPr>
            <w:r>
              <w:rPr>
                <w:rFonts w:ascii="Times New Roman;serif" w:hAnsi="Times New Roman;serif"/>
                <w:b/>
                <w:color w:val="000000"/>
                <w:sz w:val="18"/>
              </w:rPr>
              <w:t>As of July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As of December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5, 2026, the short-term investments had contractual maturity due within one year.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Private Placement Warrants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liabilities are measured at fair value on a recurring basis, including 5,500,000 Private Placement Warrants outstanding that are held by Rodgers Capital, LLC (the “Sponsor”), certain of its board of directors and third-parties (the “Private Placement Warrants”). The fair value of the Private Placement Warrants is considered a Level 3 valuation and is determined using the Black-Scholes valuation model. Each whole Private Placement Warrant became exercisable for one whole share of our common stock at a price of $10.66 per share.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and December 28, 2025, we had 5,500,000 Private Placement Warrants outstanding. The fair value of the Private Placement Warrants was $0.00 per share as of July 5, 2026 and $1.20 per share as of December 28,</w:t>
        <w:br/>
        <w:t xml:space="preserve">2025. The following tables summarize the changes for Level 3 items measured at fair value on a recurring basis using significant unobservable inputs (in thousands). </w:t>
      </w:r>
    </w:p>
    <w:tbl>
      <w:tblPr>
        <w:tblW w:w="5474" w:type="dxa"/>
        <w:jc w:val="left"/>
        <w:tblInd w:w="0" w:type="dxa"/>
        <w:tblLayout w:type="fixed"/>
        <w:tblCellMar>
          <w:top w:w="28" w:type="dxa"/>
          <w:left w:w="28" w:type="dxa"/>
          <w:bottom w:w="28" w:type="dxa"/>
          <w:right w:w="28" w:type="dxa"/>
        </w:tblCellMar>
      </w:tblPr>
      <w:tblGrid>
        <w:gridCol w:w="1124"/>
        <w:gridCol w:w="988"/>
        <w:gridCol w:w="993"/>
        <w:gridCol w:w="509"/>
        <w:gridCol w:w="1488"/>
        <w:gridCol w:w="372"/>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Private Placement Warrants</w:t>
            </w:r>
            <w:r>
              <w:rPr>
                <w:color w:val="000000"/>
              </w:rPr>
              <w:t xml:space="preserve">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Fair value as of December 28, 2025</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Fair value as of July 5, 2026</w:t>
            </w:r>
          </w:p>
        </w:tc>
        <w:tc>
          <w:tcPr>
            <w:tcW w:w="5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60" w:type="dxa"/>
        <w:jc w:val="left"/>
        <w:tblInd w:w="0" w:type="dxa"/>
        <w:tblLayout w:type="fixed"/>
        <w:tblCellMar>
          <w:top w:w="28" w:type="dxa"/>
          <w:left w:w="28" w:type="dxa"/>
          <w:bottom w:w="28" w:type="dxa"/>
          <w:right w:w="28" w:type="dxa"/>
        </w:tblCellMar>
      </w:tblPr>
      <w:tblGrid>
        <w:gridCol w:w="1124"/>
        <w:gridCol w:w="988"/>
        <w:gridCol w:w="993"/>
        <w:gridCol w:w="457"/>
        <w:gridCol w:w="1564"/>
        <w:gridCol w:w="33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Private Placement Warrants </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Fair value as of December 29, 2024</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28,380 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(9,911)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Fair value as of June 29, 2025</w:t>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18,469 </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8285"/>
                <wp:effectExtent l="0" t="0" r="0" b="0"/>
                <wp:wrapNone/>
                <wp:docPr id="15" name="Frame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for determining the fair value of the Private Placement warrants.</w:t>
      </w:r>
    </w:p>
    <w:tbl>
      <w:tblPr>
        <w:tblW w:w="10205" w:type="dxa"/>
        <w:jc w:val="left"/>
        <w:tblInd w:w="0" w:type="dxa"/>
        <w:tblLayout w:type="fixed"/>
        <w:tblCellMar>
          <w:top w:w="28" w:type="dxa"/>
          <w:left w:w="28" w:type="dxa"/>
          <w:bottom w:w="28" w:type="dxa"/>
          <w:right w:w="28" w:type="dxa"/>
        </w:tblCellMar>
      </w:tblPr>
      <w:tblGrid>
        <w:gridCol w:w="653"/>
        <w:gridCol w:w="573"/>
        <w:gridCol w:w="576"/>
        <w:gridCol w:w="1269"/>
        <w:gridCol w:w="1269"/>
        <w:gridCol w:w="1273"/>
        <w:gridCol w:w="109"/>
        <w:gridCol w:w="109"/>
        <w:gridCol w:w="109"/>
        <w:gridCol w:w="1244"/>
        <w:gridCol w:w="1244"/>
        <w:gridCol w:w="1777"/>
      </w:tblGrid>
      <w:tr>
        <w:trPr/>
        <w:tc>
          <w:tcPr>
            <w:tcW w:w="65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Private Placement Warrants Outstanding as of July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Private Placement Warrants Outstanding as of December 28, 2025</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81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8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90.8%</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8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rate</w:t>
            </w:r>
          </w:p>
        </w:tc>
        <w:tc>
          <w:tcPr>
            <w:tcW w:w="38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Convertible Senior Notes and Long-term Loans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consider the fair value of our convertible senior notes to be a Level 2 measurement as they are not actively traded in the market. As of July 5, 2026, the fair values of the 2028 Convertible Senior Notes and the 2030 Convertible Senior Notes were approximately $165.1 million and $292.3 million, respectively. As of December 28, 2025, the fair values of the 2028 Convertible Senior Notes and 2030 Convertible Senior Notes were approximately $164.4 million and $359.6 million, respectively. As of July 5, 2026, we consider the fair value of the other long-term loans as approximately equal to their carrying values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Inventory consists of the following components (in thousands).</w:t>
      </w:r>
    </w:p>
    <w:tbl>
      <w:tblPr>
        <w:tblW w:w="4809" w:type="dxa"/>
        <w:jc w:val="left"/>
        <w:tblInd w:w="0" w:type="dxa"/>
        <w:tblLayout w:type="fixed"/>
        <w:tblCellMar>
          <w:top w:w="28" w:type="dxa"/>
          <w:left w:w="28" w:type="dxa"/>
          <w:bottom w:w="28" w:type="dxa"/>
          <w:right w:w="28" w:type="dxa"/>
        </w:tblCellMar>
      </w:tblPr>
      <w:tblGrid>
        <w:gridCol w:w="527"/>
        <w:gridCol w:w="462"/>
        <w:gridCol w:w="467"/>
        <w:gridCol w:w="216"/>
        <w:gridCol w:w="738"/>
        <w:gridCol w:w="111"/>
        <w:gridCol w:w="109"/>
        <w:gridCol w:w="109"/>
        <w:gridCol w:w="109"/>
        <w:gridCol w:w="322"/>
        <w:gridCol w:w="1101"/>
        <w:gridCol w:w="166"/>
        <w:gridCol w:w="109"/>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28,</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stated at the lower of cost or net realizable value (“NRV”) on a first-in and first-out basis. Inventory costs include direct materials, direct labor, and manufacturing overhead. When the estimated net realizable values are below the manufacturing costs, a charge to cost of revenue is recorded for finished goods and work in process inventories.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5, 2026 and December 28, 2025, we had inventory reserves of $1.3 million and $0.7 million, respectively, including excess or obsolete inventory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Leases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operating lease agreements primarily for offices and manufacturing spaces located in various locations with lease periods expiring between 2027 and 2031, some of which include options to extend the leases for up to five years.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through its wholly owned subsidiary Enovix Malaysia Sdn. Bhd. (“Enovix Malaysia”), leases manufacturing facilities in Penang, Malaysia under a tenancy agreement originally entered into in December 2023, as subsequently expanded by two supplemental lease agreements entered into in October 2024 and November 2025 for additional space within the same facility. The original tenancy agreement included an option to renew for an additional three-year term, which the Company had previously determined it was reasonably certain to exercise; accordingly, the original lease term used to measure the operating lease liability and right-of-use (“ROU”) asset extended through July 31,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8285"/>
                <wp:effectExtent l="0" t="0" r="0" b="0"/>
                <wp:wrapNone/>
                <wp:docPr id="16" name="Frame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Enovix Malaysia and the landlord executed a renewal agreement (the “Renewal Agreement”) that renewed the tenancy for a one-year term commencing August 1, 2026 and expiring July 31, 2027, rather than the three-year renewal term previously assumed. Monthly rental payment is approximately RM962,267 (approximately $0.2 million U.S. dollars at current exchange rates). The Renewal Agreement covers the same premises previously leased.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Company evaluated the Renewal Agreement under ASC 842, </w:t>
      </w:r>
      <w:r>
        <w:rPr>
          <w:rFonts w:ascii="Times New Roman;serif" w:hAnsi="Times New Roman;serif"/>
          <w:b w:val="false"/>
          <w:i/>
          <w:color w:val="000000"/>
          <w:sz w:val="20"/>
        </w:rPr>
        <w:t>Leases</w:t>
      </w:r>
      <w:r>
        <w:rPr>
          <w:rFonts w:ascii="Times New Roman;serif" w:hAnsi="Times New Roman;serif"/>
          <w:b w:val="false"/>
          <w:color w:val="000000"/>
          <w:sz w:val="20"/>
        </w:rPr>
        <w:t>, and concluded that it represents a modification of the existing lease that is not accounted for as a separate contract, because it does not grant the Company an additional right-of-use. As a result, the Company reassessed the lease term and concluded it is no longer reasonably certain to exercise a renewal option beyond July 31, 2027. Accordingly, the Company remeasured the operating lease liability and corresponding ROU asset using the revised lease term ending July 31, 2027. This remeasurement resulted in a decrease of approximately $2.1 million to the ROU asset and $3.1 million to the operating lease liability. Since the lease is denominated in Malaysian Ringgit, a foreign exchange gain of $1.0 million was recognized in earnings for the fiscal year-to-date July 5, 2026. The lease continues to be classified as an operating lease.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costs were as follows (in thousands): </w:t>
      </w:r>
    </w:p>
    <w:tbl>
      <w:tblPr>
        <w:tblW w:w="6546"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3"/>
        <w:gridCol w:w="622"/>
        <w:gridCol w:w="110"/>
        <w:gridCol w:w="110"/>
        <w:gridCol w:w="110"/>
        <w:gridCol w:w="110"/>
        <w:gridCol w:w="213"/>
        <w:gridCol w:w="622"/>
        <w:gridCol w:w="15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lease information: </w:t>
      </w:r>
    </w:p>
    <w:tbl>
      <w:tblPr>
        <w:tblW w:w="6682" w:type="dxa"/>
        <w:jc w:val="left"/>
        <w:tblInd w:w="0" w:type="dxa"/>
        <w:tblLayout w:type="fixed"/>
        <w:tblCellMar>
          <w:top w:w="28" w:type="dxa"/>
          <w:left w:w="28" w:type="dxa"/>
          <w:bottom w:w="28" w:type="dxa"/>
          <w:right w:w="28" w:type="dxa"/>
        </w:tblCellMar>
      </w:tblPr>
      <w:tblGrid>
        <w:gridCol w:w="1205"/>
        <w:gridCol w:w="1059"/>
        <w:gridCol w:w="1066"/>
        <w:gridCol w:w="109"/>
        <w:gridCol w:w="109"/>
        <w:gridCol w:w="109"/>
        <w:gridCol w:w="354"/>
        <w:gridCol w:w="354"/>
        <w:gridCol w:w="356"/>
        <w:gridCol w:w="109"/>
        <w:gridCol w:w="109"/>
        <w:gridCol w:w="109"/>
        <w:gridCol w:w="478"/>
        <w:gridCol w:w="478"/>
        <w:gridCol w:w="678"/>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As of July 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As of December 28,</w:t>
              <w:br/>
              <w:t>2025</w:t>
            </w:r>
          </w:p>
        </w:tc>
      </w:tr>
      <w:tr>
        <w:trPr/>
        <w:tc>
          <w:tcPr>
            <w:tcW w:w="33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4.1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Supplemental cash flow information related to leases is as follows (in thousands): </w:t>
      </w:r>
    </w:p>
    <w:tbl>
      <w:tblPr>
        <w:tblW w:w="8456"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13"/>
        <w:gridCol w:w="622"/>
        <w:gridCol w:w="110"/>
        <w:gridCol w:w="110"/>
        <w:gridCol w:w="110"/>
        <w:gridCol w:w="110"/>
        <w:gridCol w:w="213"/>
        <w:gridCol w:w="622"/>
        <w:gridCol w:w="155"/>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8285"/>
                <wp:effectExtent l="0" t="0" r="0" b="0"/>
                <wp:wrapNone/>
                <wp:docPr id="17" name="Frame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240" w:after="283"/>
        <w:jc w:val="left"/>
        <w:rPr/>
      </w:pPr>
      <w:r>
        <w:rPr>
          <w:rFonts w:ascii="Times New Roman;serif" w:hAnsi="Times New Roman;serif"/>
          <w:b/>
          <w:color w:val="000000"/>
          <w:sz w:val="20"/>
        </w:rPr>
        <w:t>Maturities of Lease Liabilities</w:t>
      </w:r>
      <w:r>
        <w:rPr>
          <w:color w:val="00000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schedule of maturities of lease liabilities as of July 5, 2026 (in thousands).</w:t>
      </w:r>
    </w:p>
    <w:tbl>
      <w:tblPr>
        <w:tblW w:w="4154" w:type="dxa"/>
        <w:jc w:val="left"/>
        <w:tblInd w:w="0" w:type="dxa"/>
        <w:tblLayout w:type="fixed"/>
        <w:tblCellMar>
          <w:top w:w="28" w:type="dxa"/>
          <w:left w:w="28" w:type="dxa"/>
          <w:bottom w:w="28" w:type="dxa"/>
          <w:right w:w="28" w:type="dxa"/>
        </w:tblCellMar>
      </w:tblPr>
      <w:tblGrid>
        <w:gridCol w:w="972"/>
        <w:gridCol w:w="854"/>
        <w:gridCol w:w="859"/>
        <w:gridCol w:w="285"/>
        <w:gridCol w:w="976"/>
        <w:gridCol w:w="208"/>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Times New Roman;serif" w:hAnsi="Times New Roman;serif"/>
                <w:b/>
                <w:color w:val="000000"/>
                <w:sz w:val="18"/>
              </w:rPr>
              <w:t>Operating leases</w:t>
            </w:r>
            <w:r>
              <w:rPr>
                <w:color w:val="000000"/>
              </w:rPr>
              <w:t xml:space="preserve"> </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11,409 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10,131 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Borrowings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Short-Term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asset secured loans have fixed and floating interest rates with various maturity dates. From time to time, we renew our short-term loans once they reach the maturity dates. The current portion of long-term loans is recorded as short-term debt based on time remaining until maturity. As of July 5, 2026, short-term debt was $10.6 million, which comprised of $10.4 million of short-term loans with less than one-year term, and $0.2 million of the current portion of long-term loans. As of December 28, 2025, short-term debt was $9.9 million, which comprised of $9.7 million of short-term loans with less than one-year term, and $0.2 million of the current portion of long-term loans. As of July 5, 2026 and December 28, 2025, the weighted average interest rates on the short-term loans were approximately 5.1% and 4.8%, respectively.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Long-Term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long-term debt, net consists of the following (in thousands).</w:t>
      </w:r>
    </w:p>
    <w:tbl>
      <w:tblPr>
        <w:tblW w:w="10205" w:type="dxa"/>
        <w:jc w:val="left"/>
        <w:tblInd w:w="0" w:type="dxa"/>
        <w:tblLayout w:type="fixed"/>
        <w:tblCellMar>
          <w:top w:w="28" w:type="dxa"/>
          <w:left w:w="28" w:type="dxa"/>
          <w:bottom w:w="28" w:type="dxa"/>
          <w:right w:w="28" w:type="dxa"/>
        </w:tblCellMar>
      </w:tblPr>
      <w:tblGrid>
        <w:gridCol w:w="1205"/>
        <w:gridCol w:w="1058"/>
        <w:gridCol w:w="1062"/>
        <w:gridCol w:w="109"/>
        <w:gridCol w:w="109"/>
        <w:gridCol w:w="109"/>
        <w:gridCol w:w="376"/>
        <w:gridCol w:w="311"/>
        <w:gridCol w:w="776"/>
        <w:gridCol w:w="109"/>
        <w:gridCol w:w="109"/>
        <w:gridCol w:w="109"/>
        <w:gridCol w:w="516"/>
        <w:gridCol w:w="482"/>
        <w:gridCol w:w="474"/>
        <w:gridCol w:w="109"/>
        <w:gridCol w:w="109"/>
        <w:gridCol w:w="109"/>
        <w:gridCol w:w="211"/>
        <w:gridCol w:w="826"/>
        <w:gridCol w:w="109"/>
        <w:gridCol w:w="109"/>
        <w:gridCol w:w="109"/>
        <w:gridCol w:w="109"/>
        <w:gridCol w:w="263"/>
        <w:gridCol w:w="1032"/>
        <w:gridCol w:w="196"/>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Annual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July 5,</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28,</w:t>
              <w:br/>
              <w:t>2025</w:t>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Floating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Convertible Senior Notes and 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532,960 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519,271 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8285"/>
                <wp:effectExtent l="0" t="0" r="0" b="0"/>
                <wp:wrapNone/>
                <wp:docPr id="18" name="Frame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Long-term Loans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and December 28, 2025, total long-term loans outstanding were $0.3 million and $0.5 million, respectively, including a current portion of the long-term loans of $0.2 million for both periods, respectively.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10, 2025, we issued $360.0 million aggregate principal amount of convertible senior notes (the “2030 Convertible Senior Notes”), pursuant to an indenture, dated as of September 15, 2025 (the “Indenture”), between the Company and U.S. Bank Trust Company, National Association, as trustee (the “Trustee”). The 2030 Convertible Senior Notes are unsecured obligations of the Company and bear interest at a rate of 4.75% per year from September 15, 2025, and are payable semiannually in arrears on March 15 and September 15 of each year, beginning on March 15, 2026. The 2030 Convertible Senior Notes will mature on September 15, 2030, unless earlier converted, redeemed or repurchased. For both periods ended July 5, 2026 and December 28, 2025, the total principal amount outstanding of the 2030 Convertible Senior Notes was $360.0 million.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2028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20, 2023, we issued $172.5 million aggregate principal amount of 3.0% convertible senior notes due 2028 (the “2028 Convertible Senior Notes”), including $10.0 million principal amount of the 2028 Convertible Senior Notes (the “Affiliate Notes”) issued to an entity affiliated with Thurman John Rodgers, Chairman of our Board of Directors, in a concurrent private placement. As of both periods ended July 5, 2026 and December 28, 2025, the total principal amount outstanding of the 2028 Convertible Senior Notes was $172.5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2028 Convertible Senior Notes are unsecured obligations of the Company and bear interest at a rate of 3.0% per year from April 20, 2023, and are payable semiannually in arrears on May 1 and November 1 of each year, beginning on November 1, 2023. The 2028 Convertible Senior Notes will mature on May 1, 2028 unless earlier converted, redeemed or repurchased.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interest expenses related to the convertible senior notes and loans, which are recorded within interest expense in the Condensed Consolidated Statements of Operations (in thousands).</w:t>
      </w:r>
    </w:p>
    <w:tbl>
      <w:tblPr>
        <w:tblW w:w="10205" w:type="dxa"/>
        <w:jc w:val="left"/>
        <w:tblInd w:w="0" w:type="dxa"/>
        <w:tblLayout w:type="fixed"/>
        <w:tblCellMar>
          <w:top w:w="28" w:type="dxa"/>
          <w:left w:w="28" w:type="dxa"/>
          <w:bottom w:w="28" w:type="dxa"/>
          <w:right w:w="28" w:type="dxa"/>
        </w:tblCellMar>
      </w:tblPr>
      <w:tblGrid>
        <w:gridCol w:w="1765"/>
        <w:gridCol w:w="1542"/>
        <w:gridCol w:w="1518"/>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48"/>
        <w:gridCol w:w="726"/>
        <w:gridCol w:w="185"/>
      </w:tblGrid>
      <w:tr>
        <w:trPr/>
        <w:tc>
          <w:tcPr>
            <w:tcW w:w="176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4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on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Loan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expenses related to Convertible Senior Notes and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and December 28, 2025, we had $6.1 million and $5.8 million of accrued interest liability,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8285"/>
                <wp:effectExtent l="0" t="0" r="0" b="0"/>
                <wp:wrapNone/>
                <wp:docPr id="19" name="Frame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Debt Maturity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long-term debt maturities, based on outstanding principal by years (in thousands).</w:t>
      </w:r>
    </w:p>
    <w:tbl>
      <w:tblPr>
        <w:tblW w:w="4722" w:type="dxa"/>
        <w:jc w:val="left"/>
        <w:tblInd w:w="0" w:type="dxa"/>
        <w:tblLayout w:type="fixed"/>
        <w:tblCellMar>
          <w:top w:w="28" w:type="dxa"/>
          <w:left w:w="28" w:type="dxa"/>
          <w:bottom w:w="28" w:type="dxa"/>
          <w:right w:w="28" w:type="dxa"/>
        </w:tblCellMar>
      </w:tblPr>
      <w:tblGrid>
        <w:gridCol w:w="1135"/>
        <w:gridCol w:w="997"/>
        <w:gridCol w:w="1003"/>
        <w:gridCol w:w="109"/>
        <w:gridCol w:w="109"/>
        <w:gridCol w:w="109"/>
        <w:gridCol w:w="223"/>
        <w:gridCol w:w="874"/>
        <w:gridCol w:w="163"/>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Debt Maturity</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172,554 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amount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532,824 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Purchase Commitments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and December 28, 2025, our commitments included approximately $3.2 million and $5.3 million, respectively, of our open purchase orders and contractual obligations that occurred in the ordinary course of business, including commitments with contract manufacturers and suppliers for which we have not received goods or services, commitments for capital expenditures and construction-related activities for which we have not received the goods or services. Although open purchase orders are considered enforceable and legally binding, the terms generally allow us an option to cancel, reschedule, and adjust its requirements based on our business needs prior to the delivery of goods or performance of services. For lease obligations, please refer to Note 5 “Leases” for more details. For the Convertible Senior Notes obligation and other borrowings, please refer to Note 6 “Borrowings” for more details.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Performance Obligations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we had $4.0 million of performance obligations, which comprised of total deferred revenue and customer order deposits. We currently expect to recognize approximately 93% of deferred revenue as revenue within the next twelve months.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a variety of claims, lawsuits, investigations, and proceedings concerning matters arising in connection with our business activities, including product liability, intellectual property, commercial, insurance, securities laws, contract disputes, and employment matters. Certain of these lawsuits and claims are described in further detail below. We intend to vigorously defend against each of these allegations.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liability and related charge to earnings is recorded in the condensed consolidated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The outcomes of outstanding legal matters are inherently unpredictable and subject to uncertainties. While there can be no assurance of favorable outcome of these legal matters, we currently believe that the outcome of these matters will not have a material adverse effect on our results of operations, liquidity or financial position.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Securities Class Action Complaint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2023, purported Company stockholders filed securities class action complaints in the U.S. District Court for the Northern District of California against Enovix and certain of its current and former officers and directors (collectively, the “defendants”). The complaints, which were later consolidated, allege violations of Sections 10(b) and 20(a) of the Exchange Act, and Rule 10b-5 promulgated thereunder, relating to alleged material misstatements or omissions in public statements related to our manufacturing scale-ups and testing of new equipment. Following consolidation of the cases and court appointment of two purported Company stockholder lead plaintiffs, a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8285"/>
                <wp:effectExtent l="0" t="0" r="0" b="0"/>
                <wp:wrapNone/>
                <wp:docPr id="20" name="Frame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complaint, In re Enovix Corp. Securities Litigation, Case No. 23-cv-00071-SI (N.D. Cal.), was filed in July 2023. The consolidated complaint alleges substantially similar claims, including allegations that the defendants made material misstatements or omissions in public statements related to testing of new equipment.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court granted the motion to dismiss the consolidated complaint in January 2024. The plaintiffs subsequently filed a second amended complaint in March 2024. The plaintiffs seek unspecified damages, interest, fees and costs on behalf of a putative class of persons and entities that purchased and/or acquired shares of Enovix or its predecessor entity’s common stock between August 10, 2021 and October 3, 2023.</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2024, the court issued an order granting, in part, and denying in part defendants’ motion to dismiss. In June 2025, we filed a motion for partial judgment on the pleadings to eliminate certain alleged misstatements currently at issue in the case. In October 2025, the court granted our motion in full and dismissed two of the three remaining statements at issue in the litigation.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case is now proceeding on the one statement at issue. A hearing on the plaintiffs’ renewed motion for class certification was held and on April 21, 2026, the court denied plaintiffs’ motion for class certification. On May 5, 2026, the plaintiffs filed a petition for leave to appeal the denial of class certification with the United States Court of Appeals for the Ninth Circuit, and the court subsequently denied the appeal.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a related derivative lawsuit was filed in Alameda County, California, which lawsuit has been stayed pending resolution of the securities action. In March 2026, two other derivative lawsuits were filed in the Northern District of California and the District of Delaware alleging substantially similar claims.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2024, we received demands under Section 220 of the Delaware General Corporation Law for corporate books and records (“Section 220 Demand”) from two stockholders related to the foregoing matter. However, we received notice in November 2025 from one of the stockholders, and in March 2026 from the second stockholder, that they would no longer be pursuing their Section 220 Demand.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information currently available, we have not recorded a liability related to these matters in our condensed consolidated financial statements as of July 5, 2026, because we cannot reasonably estimate the amount or range of potential losses.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Guarantees and Indemnifications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enter into contracts and agreements that contain a variety of representations and warranties and provide for general indemnifications. In addition, we purchased performance bonds to guarantee our performance obligations for certain projects. Our exposure under these agreements is unknown because it involves claims that may be made against us in the future but have not yet been made. To date, we have not paid any claims or been required to defend any action related to the indemnification obligations. However, we may record charges in the future as a result of these indemnification obligations.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 We believe the fair value of these indemnification agreements is minimal. Accordingly, we have not recorded any liabilities relating to these obligations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8285"/>
                <wp:effectExtent l="0" t="0" r="0" b="0"/>
                <wp:wrapNone/>
                <wp:docPr id="21" name="Frame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Treasury Stock and Warrants</w:t>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Common Stock Repurchase Plan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our Board of Directors approved a stock repurchase plan authorizing the Company to repurchase up to $60.0 million worth of shares of our common stock (the “Repurchase Plan”), of which $58.4 million was used to repurchase stock during fiscal year 2025. The Repurchase Plan was initially set to expire on December 31, 2026 and prior to its adoption, we did not have a repurchase plan in place.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our Board of Directors authorized us to repurchase up to an additional $75.0 million worth of shares of the Company’s common stock, $0.0001 par value per share, under the Repurchase Plan and also designated that the Repurchase Plan would no longer have an expiration date.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5, 2026 and December 28, 2025, we had $76.6 million and $1.6 million, respectively, available for repurchases of common stock under the Repurchase Plan.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make repurchases from time to time through open market purchases or through privately negotiated transactions. Pursuant to the Repurchase Plan, the timing and number of shares of common stock repurchased will be determined at our discretion. We may modify, suspend or discontinue the Repurchase Plan at any time and we are not obligated to repurchase any specific number of shares of common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Private Placement Warrants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5,500,000 Private Placement Warrants outstanding were originally issued in a private placement to the Sponsor and certain of its members on December 5, 2021. Each whole Private Placement Warrant became exercisable for one whole share of our common stock at a price of $10.66 per share.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and December 28, 2025, we had 5,500,000 Private Placement Warrants outstanding. See Note 3 “Fair Value Measurement” for more information. The Private Placement Warrants were unexercised and expired on July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Net Loss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our basic and diluted net EPS of common stock for the periods presented below (in thousands, except share and per share amount). </w:t>
      </w:r>
    </w:p>
    <w:tbl>
      <w:tblPr>
        <w:tblW w:w="10205" w:type="dxa"/>
        <w:jc w:val="left"/>
        <w:tblInd w:w="0" w:type="dxa"/>
        <w:tblLayout w:type="fixed"/>
        <w:tblCellMar>
          <w:top w:w="28" w:type="dxa"/>
          <w:left w:w="28" w:type="dxa"/>
          <w:bottom w:w="28" w:type="dxa"/>
          <w:right w:w="28" w:type="dxa"/>
        </w:tblCellMar>
      </w:tblPr>
      <w:tblGrid>
        <w:gridCol w:w="1643"/>
        <w:gridCol w:w="1170"/>
        <w:gridCol w:w="1184"/>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64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 basic and diluted</w:t>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(68,038)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Weighted-average shares outstanding used in computing net loss per share of common stock - basic and diluted</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218,502,098 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204,819,119 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217,908,465 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204,086,108 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loss per share of common stock:</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Basic and diluted</w:t>
            </w:r>
            <w:r>
              <w:rPr>
                <w:rFonts w:ascii="Times New Roman;serif" w:hAnsi="Times New Roman;serif"/>
                <w:b w:val="false"/>
                <w:color w:val="000000"/>
                <w:sz w:val="13"/>
              </w:rPr>
              <w:t>(1)</w:t>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As required by ASC 260, </w:t>
      </w:r>
      <w:r>
        <w:rPr>
          <w:rFonts w:ascii="Times New Roman;serif" w:hAnsi="Times New Roman;serif"/>
          <w:b w:val="false"/>
          <w:i/>
          <w:color w:val="000000"/>
          <w:sz w:val="20"/>
        </w:rPr>
        <w:t>Earnings Per Share</w:t>
      </w:r>
      <w:r>
        <w:rPr>
          <w:rFonts w:ascii="Times New Roman;serif" w:hAnsi="Times New Roman;serif"/>
          <w:b w:val="false"/>
          <w:color w:val="000000"/>
          <w:sz w:val="20"/>
        </w:rPr>
        <w:t xml:space="preserve">, the share and per share amounts for the periods presented in the above table have been retroactively adjusted to reflect the warrant dividends issued in July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8285"/>
                <wp:effectExtent l="0" t="0" r="0" b="0"/>
                <wp:wrapNone/>
                <wp:docPr id="22" name="Frame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discloses shares of the securities that were not included in the diluted EPS calculation above because they are anti-dilutive for the periods presented above. </w:t>
      </w:r>
    </w:p>
    <w:tbl>
      <w:tblPr>
        <w:tblW w:w="10205" w:type="dxa"/>
        <w:jc w:val="left"/>
        <w:tblInd w:w="0" w:type="dxa"/>
        <w:tblLayout w:type="fixed"/>
        <w:tblCellMar>
          <w:top w:w="28" w:type="dxa"/>
          <w:left w:w="28" w:type="dxa"/>
          <w:bottom w:w="28" w:type="dxa"/>
          <w:right w:w="28" w:type="dxa"/>
        </w:tblCellMar>
      </w:tblPr>
      <w:tblGrid>
        <w:gridCol w:w="1314"/>
        <w:gridCol w:w="1142"/>
        <w:gridCol w:w="1145"/>
        <w:gridCol w:w="613"/>
        <w:gridCol w:w="468"/>
        <w:gridCol w:w="157"/>
        <w:gridCol w:w="156"/>
        <w:gridCol w:w="156"/>
        <w:gridCol w:w="156"/>
        <w:gridCol w:w="589"/>
        <w:gridCol w:w="492"/>
        <w:gridCol w:w="180"/>
        <w:gridCol w:w="109"/>
        <w:gridCol w:w="109"/>
        <w:gridCol w:w="109"/>
        <w:gridCol w:w="621"/>
        <w:gridCol w:w="460"/>
        <w:gridCol w:w="236"/>
        <w:gridCol w:w="185"/>
        <w:gridCol w:w="185"/>
        <w:gridCol w:w="185"/>
        <w:gridCol w:w="661"/>
        <w:gridCol w:w="420"/>
        <w:gridCol w:w="357"/>
      </w:tblGrid>
      <w:tr>
        <w:trPr/>
        <w:tc>
          <w:tcPr>
            <w:tcW w:w="13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 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1,132,201 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1,618,980 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1,132,201 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1,618,980 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and performance restricted stock units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15,385,038 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14,954,849 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15,385,038 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14,954,849 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Convertible Senior Notes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43,171,560 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11,053,800 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43,171,560 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11,053,800 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5,500,000 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5,500,000 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5,500,000 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5,500,000 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estimated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166,059 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296,202 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166,059 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296,202 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issue equity awards to our employees and non-employees in the form of stock options, restricted stock units (“RSUs”) and performance based RSUs (“PRSUs”). Additionally, we also offer an employee stock purchase plan (“ESPP”) to our eligible employees. We use the Black-Scholes option pricing model to value our stock options granted and the estimated shares to be purchased under the ESPP. For both RSUs and PRSUs, we use our common stock price, which is the last reported sales price on the grant date to value those securities.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we recognize stock-based compensation expense on a straight-line basis over the requisite service period and record forfeitures as they occur. For PRSUs, we use the graded vesting method to calculate the stock-based compensation expense. At each reporting period, we recognize and adjust the stock-based compensation expense based on our probability assessment in meeting our PRSUs' performance conditions.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 by operating expense category, recognized in the Condensed Consolidated Statements of Operations for the periods presented below (in thousands).</w:t>
      </w:r>
    </w:p>
    <w:tbl>
      <w:tblPr>
        <w:tblW w:w="8753" w:type="dxa"/>
        <w:jc w:val="left"/>
        <w:tblInd w:w="0" w:type="dxa"/>
        <w:tblLayout w:type="fixed"/>
        <w:tblCellMar>
          <w:top w:w="28" w:type="dxa"/>
          <w:left w:w="28" w:type="dxa"/>
          <w:bottom w:w="28" w:type="dxa"/>
          <w:right w:w="28" w:type="dxa"/>
        </w:tblCellMar>
      </w:tblPr>
      <w:tblGrid>
        <w:gridCol w:w="1247"/>
        <w:gridCol w:w="1099"/>
        <w:gridCol w:w="11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797"/>
        <w:gridCol w:w="170"/>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Years-to-Date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5,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12,363 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fiscal year-to-date ended July 5, 2026 and June 29, 2025, we capitalized $0.7 million and $0.2 million, respectively, of stock-based compensation as property and equipment, net on the Condensed Consolidated Balance Sheet. There was no recognized tax benefit related to stock-based compensation for the periods presented. In addition, we accrued $2.1 million of bonus to be settled in equity awards as accrued compensation on the Condensed Consolidated Balance Sheet as of July 5,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there was approximately $96.1 million of total unrecognized stock-based compensation expense related to unvested equity awards, which are expected to be recognized over a weighted-average period of 2.8 years. As of July 5, 2026, there was approximately $0.5 million of total unrecognized stock-based compensation related to the ESPP, which is expected to be recognized over a period of 0.98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8285"/>
                <wp:effectExtent l="0" t="0" r="0" b="0"/>
                <wp:wrapNone/>
                <wp:docPr id="23" name="Frame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Option Activity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activities for the fiscal year-to-date ended July 5, 2026 (in thousands, except share, per share and contractual life amounts).</w:t>
      </w:r>
    </w:p>
    <w:tbl>
      <w:tblPr>
        <w:tblW w:w="8909" w:type="dxa"/>
        <w:jc w:val="left"/>
        <w:tblInd w:w="0" w:type="dxa"/>
        <w:tblLayout w:type="fixed"/>
        <w:tblCellMar>
          <w:top w:w="28" w:type="dxa"/>
          <w:left w:w="28" w:type="dxa"/>
          <w:bottom w:w="28" w:type="dxa"/>
          <w:right w:w="28" w:type="dxa"/>
        </w:tblCellMar>
      </w:tblPr>
      <w:tblGrid>
        <w:gridCol w:w="1312"/>
        <w:gridCol w:w="1157"/>
        <w:gridCol w:w="1160"/>
        <w:gridCol w:w="488"/>
        <w:gridCol w:w="488"/>
        <w:gridCol w:w="376"/>
        <w:gridCol w:w="109"/>
        <w:gridCol w:w="109"/>
        <w:gridCol w:w="109"/>
        <w:gridCol w:w="211"/>
        <w:gridCol w:w="616"/>
        <w:gridCol w:w="109"/>
        <w:gridCol w:w="109"/>
        <w:gridCol w:w="109"/>
        <w:gridCol w:w="109"/>
        <w:gridCol w:w="345"/>
        <w:gridCol w:w="345"/>
        <w:gridCol w:w="346"/>
        <w:gridCol w:w="109"/>
        <w:gridCol w:w="109"/>
        <w:gridCol w:w="109"/>
        <w:gridCol w:w="247"/>
        <w:gridCol w:w="547"/>
        <w:gridCol w:w="181"/>
      </w:tblGrid>
      <w:tr>
        <w:trPr/>
        <w:tc>
          <w:tcPr>
            <w:tcW w:w="13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Options</w:t>
              <w:br/>
              <w:t xml:space="preserve">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Aggregate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Intrinsic</w:t>
            </w:r>
          </w:p>
          <w:p>
            <w:pPr>
              <w:pStyle w:val="TableContents"/>
              <w:bidi w:val="0"/>
              <w:spacing w:lineRule="auto" w:line="240" w:before="0" w:after="0"/>
              <w:jc w:val="center"/>
              <w:rPr/>
            </w:pPr>
            <w:r>
              <w:rPr>
                <w:rFonts w:ascii="Times New Roman;serif" w:hAnsi="Times New Roman;serif"/>
                <w:b/>
                <w:color w:val="000000"/>
                <w:sz w:val="18"/>
              </w:rPr>
              <w:t xml:space="preserve">Value </w:t>
            </w:r>
            <w:r>
              <w:rPr>
                <w:rFonts w:ascii="Times New Roman;serif" w:hAnsi="Times New Roman;serif"/>
                <w:b/>
                <w:color w:val="000000"/>
                <w:sz w:val="12"/>
              </w:rPr>
              <w:t>(1) (2)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Balances as of December 29, 2025</w:t>
            </w:r>
          </w:p>
        </w:tc>
        <w:tc>
          <w:tcPr>
            <w:tcW w:w="135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1,206,554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(69,623)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Balances as of July 5, 2026</w:t>
            </w:r>
          </w:p>
        </w:tc>
        <w:tc>
          <w:tcPr>
            <w:tcW w:w="13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1,132,201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July 5, 2026</w:t>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1,132,201 </w:t>
            </w:r>
          </w:p>
        </w:tc>
        <w:tc>
          <w:tcPr>
            <w:tcW w:w="37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July 5, 2026</w:t>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1,131,367 </w:t>
            </w:r>
          </w:p>
        </w:tc>
        <w:tc>
          <w:tcPr>
            <w:tcW w:w="37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and exercisable at July 5, 2026</w:t>
            </w:r>
          </w:p>
        </w:tc>
        <w:tc>
          <w:tcPr>
            <w:tcW w:w="9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3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850"/>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333" w:before="0" w:after="283"/>
              <w:jc w:val="both"/>
              <w:rPr>
                <w:rFonts w:ascii="Times New Roman;serif" w:hAnsi="Times New Roman;serif"/>
                <w:b w:val="false"/>
                <w:color w:val="000000"/>
                <w:sz w:val="18"/>
              </w:rPr>
            </w:pPr>
            <w:r>
              <w:rPr>
                <w:rFonts w:ascii="Times New Roman;serif" w:hAnsi="Times New Roman;serif"/>
                <w:b w:val="false"/>
                <w:color w:val="000000"/>
                <w:sz w:val="18"/>
              </w:rPr>
              <w:t>The intrinsic value of options exercised is based upon the value of our stock at exercise.</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val="false"/>
                <w:color w:val="000000"/>
                <w:sz w:val="18"/>
              </w:rPr>
            </w:pPr>
            <w:r>
              <w:rPr>
                <w:rFonts w:ascii="Times New Roman;serif" w:hAnsi="Times New Roman;serif"/>
                <w:b w:val="false"/>
                <w:color w:val="000000"/>
                <w:sz w:val="18"/>
              </w:rPr>
              <w:t>The aggregate intrinsic value of the stock options outstanding as of July 5, 2026 represents the value of our closing stock price at $5.36 on the last trading day of the quarter ended July 5, 2026 in excess of the exercise price multiplied by the number of options outstanding.</w:t>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Restricted Stock Unit and Performance Restricted Stock Unit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RSUs and PRSUs activities for the fiscal year-to-date ended July 5, 2026 (in thousands, except share and per share amount).</w:t>
      </w:r>
    </w:p>
    <w:tbl>
      <w:tblPr>
        <w:tblW w:w="10205" w:type="dxa"/>
        <w:jc w:val="left"/>
        <w:tblInd w:w="0" w:type="dxa"/>
        <w:tblLayout w:type="fixed"/>
        <w:tblCellMar>
          <w:top w:w="28" w:type="dxa"/>
          <w:left w:w="28" w:type="dxa"/>
          <w:bottom w:w="28" w:type="dxa"/>
          <w:right w:w="28" w:type="dxa"/>
        </w:tblCellMar>
      </w:tblPr>
      <w:tblGrid>
        <w:gridCol w:w="1313"/>
        <w:gridCol w:w="1090"/>
        <w:gridCol w:w="1097"/>
        <w:gridCol w:w="540"/>
        <w:gridCol w:w="541"/>
        <w:gridCol w:w="361"/>
        <w:gridCol w:w="109"/>
        <w:gridCol w:w="109"/>
        <w:gridCol w:w="109"/>
        <w:gridCol w:w="370"/>
        <w:gridCol w:w="899"/>
        <w:gridCol w:w="192"/>
        <w:gridCol w:w="109"/>
        <w:gridCol w:w="109"/>
        <w:gridCol w:w="109"/>
        <w:gridCol w:w="488"/>
        <w:gridCol w:w="488"/>
        <w:gridCol w:w="361"/>
        <w:gridCol w:w="109"/>
        <w:gridCol w:w="109"/>
        <w:gridCol w:w="109"/>
        <w:gridCol w:w="356"/>
        <w:gridCol w:w="862"/>
        <w:gridCol w:w="266"/>
      </w:tblGrid>
      <w:tr>
        <w:trPr/>
        <w:tc>
          <w:tcPr>
            <w:tcW w:w="131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PRSUs</w:t>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 xml:space="preserve">Grant Date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 Fair Value</w:t>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Issued and unvested shares balances as of December 29,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10,336,628 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9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2,047,638 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6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6,078,478 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2,230,318 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(2,856,396)</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(16,748)</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(945,580)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Issued and unvested shares outstanding as of July 5,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12,069,410 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3,315,628 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Note 11. Related Parties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Employment Relationship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we employed one family member of our Chief Executive Officer, who assists with sales in North America.</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Affiliate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20, 2023, we issued $172.5 million aggregate principal amount of the 2028 Convertible Senior Notes, which included $10.0 million principal amount of the Affiliate Notes that were issued to an entity affiliated with Thurman John “T.J.” Rodgers, our Chairman, in a concurrent private placement. The Affiliate Notes were recorded in Long-term debt, net on our Condensed Consolidated Balance Sheets. See Note 6 “Borrowings”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8285"/>
                <wp:effectExtent l="0" t="0" r="0" b="0"/>
                <wp:wrapNone/>
                <wp:docPr id="24" name="Frame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283"/>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ENOVIX CORPORATION</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(Continued)</w:t>
      </w:r>
    </w:p>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both the fiscal quarters ended July 5, 2026 and June 29, 2025 and the fiscal years-to-date ended July 5, 2026 and June 29, 2025, we recorded an immaterial amount of interest expense related to the Affiliate Notes in our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8285"/>
                <wp:effectExtent l="0" t="0" r="0" b="0"/>
                <wp:wrapNone/>
                <wp:docPr id="25" name="Frame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financial condition and results of operations should be read together with the condensed consolidated financial statements and related notes thereto included elsewhere in this Quarterly Report on Form 10-Q. This discussion and analysis contains forward-looking statements based upon our current expectations, estimates and projections that involve risks and uncertainties. Actual results and timing of selected events may differ materially from those anticipated in these forward-looking statements as a result of various factors, including those set forth in the section titled “Risk Factors” and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design, develop and manufacture advanced lithium-ion batteries, including our proprietary silicon-anode architecture that enables higher energy density and performance relative to conventional battery cells, particularly in space-constrained devices such as smartphones, smart eyewear and next generation AI-enabled devices. We have expanded our suite of battery offerings through acquisitions and now also manufacture conventional lithium-ion batteries, primarily serving customers in the defense and industrial sectors.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To date, we have concentrated our operational efforts on researching, developing and commercializing the next generation technology behind our silicon-anode lithium-ion battery cell architecture. We recently launched the AI-1</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product platform, our Artificial Intelligence Class</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batteries for the next generation of mobile smartphones, smart eyewear and other AI-enabled devices that require significantly higher total energy storage and power to perform AI functions locally. We also serve customers in defense and industrial markets through our conventional and silicon-blended graphite battery products across a range of battery sizes and configurations optimized for high discharge rate applications, such as drones, subsea and munitions defense systems.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Drones represent a priority area of focus for us, as we believe our products provide a strong competitive advantage for serving customers that are increasingly prioritizing higher energy density, extended flight time, and supply-chain diversification. To support this anticipated growth, we have invested in additional capacity in our facility and launched MX-1, our first silicon-enhanced product platform, which is designed for rugged applications requiring rapid discharge and high gravimetric energy density. Finally, in addition to the smartphone, smart eyewear and defense and industrial markets, we are pursuing deployment of our technology across other edge-AI applications, as well as computing and EVs, among others.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lease several facilities, including our headquarters in Fremont, California, and our manufacturing facility in Malaysia. Our manufacturing operations are conducted in Malaysia and South Korea, supporting both our next-generation silicon-anode platform and our conventional lithium-ion battery products. We have transitioned our prior U.S. pilot manufacturing activities to Malaysia and continue to focus on manufacturing execution, operational efficiency, and capacity planning to support commercialization efforts. Our research and development activities are conducted primarily in California, India, and South Korea and are focused on cell architecture, materials integration, and manufacturing process optimization. We also recently opened a sales office in Shenzhen,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Trends, Opportunities and Uncertainties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 from the sale of batteries and battery pack products. As we continue to commercialize our battery technologies and expand our product offerings, our operating results and future growth will depend on, among other factors, the successful qualification and adoption of our products by customers, our ability to scale manufacturing efficiently, and the development of demand across our target markets. These factors present significant opportunities as well as risks and uncertainties, as described below and in the section titled “Risk Factors” included elsewhere in this Quarterly Report on Form 10-Q.</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Smartphones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Advanced smartphone qualification continues with our lead smartphone original equipment manufacturer (“OEM”) customer. During the second quarter of 2026, our lead smartphone customer confirmed that our batteries passed more than 1,000 cycles under the 0.2C discharge cycle test. The final accelerated cycle-life testing is underway built around a hybrid protocol defined in close collaboration with the customer and designed for silicon-anode cells. This hybrid approach, which replaced the traditional 0.7C test used for legacy graphite batteries, consists of multiple test protocols across a range of charge and discharge conditions, with testing durations differing by variant mix. The lead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8285"/>
                <wp:effectExtent l="0" t="0" r="0" b="0"/>
                <wp:wrapNone/>
                <wp:docPr id="26" name="Frame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customer is currently evaluating our cells, including an enhanced design, across these multiple variants. We anticipate completing this final test in the fourth quarter of 2026, with targeted system-level field testing to follow.  Our second smartphone OEM customer continues moving toward a similar qualification framework, following a path parallel to that of our lead customer. We expect to begin sample deliveries to this customer in the fourth quarter of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Smart Eyewear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smart eyewear, we continued to make significant progress toward broader commercialization during the second quarter of 2026. Following the start of commercial production in the first quarter, we shipped approximately 2,100 silicon-anode AI-1 batteries and recognized initial smart eyewear product revenue under a customer order for 50,000 packs for delivery in 2026. We also completed key international safety certifications and customer reliability testing. The customer has since issued delivery orders for approximately 19,000 packs for third-quarter delivery, and we expect to fulfill the balance of the order in the fourth quarter of 2026, with shipment volumes expected to grow in 2027 as downstream deployments are projected to expand.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Drones, Defense and Industrial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Demand across our drone, defense and industrial end markets continued to expand during the second quarter of 2026. Our global pipeline for products manufactured at our South Korea facility grew approximately 41% to approximately $183 million, up from $130 million at the end of the first quarter, with more than half the growth driven by drone opportunities. This pipeline represents our estimate of the peak annual production value of identified design opportunities and does not represent contracted or committed revenue. The timing and extent to which these opportunities convert into revenue will depend on a number of factors, including our ability to satisfy customer qualification requirements, secure design wins and scale production to meet customer demand, and some or all of these opportunities may not ultimately result in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established manufacturing operations in South Korea position us to address demand for high-performance drone batteries that meet applicable U.S. government sourcing requirements, including under the National Defense Authorization Act (NDAA) and the Trade Agreements Act (TAA), which we expect to exceed available industry supply through the end of the decade. Subsequent to quarter end, our drone battery passed UN 38.3 transportation testing, completing a key certification required for commercial shipment, and we commenced sampling to numerous customers. We are also continuing the previously announced capacity expansion at our South Korea facility, with new capacity expected to come online in mid-2027.</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Manufacturing Readiness and Technology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continued to make progress improving manufacturing execution and yields at Fab2. In smart eyewear production, substantially all process steps outside of Zone 1 achieved yields of 95% or greater, while Zone 1 dicing, which remains a key throughput driver across our smartphone and smart eyewear production lines, delivered step-level yield of approximately 84% in the second quarter, up from approximately 80% in the prior quarter. We continue to implement manufacturing improvements intended to increase throughput and reduce costs, including a hybrid dicing configuration that combines laser and mechanical dicing, as well as further simplification of the manufacturing flow. Multiple key dicing steps are expected to come online around the end of 2026. Achieving the yield, throughput and cost levels necessary to support manufacturing at scale remains an important execution priority, and the timing and expected benefits of these initiatives remain subject to manufacturing and operational risks.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 parallel with these manufacturing initiatives, we continued to advance our product and technology roadmap across our targeted end markets. We have begun customer sampling of our next-generation AI-2</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battery for smart eyewear, which is expected to deliver significantly higher volumetric energy density than AI-1. The underlying technology innovations are also expected to support a step-function in performance gains for our future smartphone batteries. We also continued to advance our technology roadmap for products manufactured at our South Korea facility, including MX-2</w:t>
      </w:r>
      <w:r>
        <w:rPr>
          <w:rFonts w:ascii="Times New Roman;serif" w:hAnsi="Times New Roman;serif"/>
          <w:b w:val="false"/>
          <w:color w:val="000000"/>
          <w:sz w:val="13"/>
        </w:rPr>
        <w:t>TM</w:t>
      </w:r>
      <w:r>
        <w:rPr>
          <w:rFonts w:ascii="Times New Roman;serif" w:hAnsi="Times New Roman;serif"/>
          <w:b w:val="false"/>
          <w:color w:val="000000"/>
          <w:sz w:val="20"/>
        </w:rPr>
        <w:t>, the next generation of our MX-1</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drone cell, which remains targeted for 2027.</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Global Risks.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operations in Malaysia and South Korea, and our supply chain for raw materials and components, are subject to evolving trade policies, tariffs, export restrictions, and geopolitical tensions. We face risks related to significant changes in United States trade policy, including tariffs on products imported from China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8285"/>
                <wp:effectExtent l="0" t="0" r="0" b="0"/>
                <wp:wrapNone/>
                <wp:docPr id="27" name="Frame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countries and potential retaliatory actions by those countries. Escalating geopolitical tensions, changes in tariff regimes affecting components sourced from or processed in China, or disruptions to our Malaysia-based manufacturing operations could increase our cost of production and adversely affect our margins and competitive position. Although we do not currently anticipate a material change in risk to our near-term outlook from the existing trade environment, the extent and future outcome of these global risks are highly unpredictable and uncertain and may adversely affect our future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June 2022, we began to generate revenue from our Fab1 in Fremont, California. In October 2023, we acquired Routejade, a manufacturer of electrode coating and battery packs for customers worldwide. We recognize revenue within the scope of Accounting Standards Codification (“ASC”) 606, </w:t>
      </w:r>
      <w:r>
        <w:rPr>
          <w:rFonts w:ascii="Times New Roman;serif" w:hAnsi="Times New Roman;serif"/>
          <w:b w:val="false"/>
          <w:i/>
          <w:color w:val="000000"/>
          <w:sz w:val="20"/>
        </w:rPr>
        <w:t>Revenue from Contracts with Customers.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consists of product revenue, resulting from the sale of lithium-ion batteries and battery pack products (“Product Revenue”) to customers. Product Revenue is recognized once we have satisfied the performance obligations as defined in the sales agreement, which is generally satisfied upon transfer of control of goods. Control is transferred upon delivery of the product. For certain customized products with customer acceptance criteria specified in the sales agreement, the performance obligations are generally satisfied upon our customer’s acceptance. Payment terms can vary depending on the contract and it is generally required within 90 days or less from the delivery date or the acceptance date of our product. The amount of revenue recognized reflects the consideration for the product sold.</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includes materials, labor, depreciation and amortization expense, freight costs and other direct costs related to manufacturing our products and service contracts. Labor consists of personnel-related expenses such as salaries, benefits, and stock-based compensation. We anticipate that cost of revenue will continue to increase as we optimize and expand our production line. Gross margin may also fluctuate from period to period as our product and customer mix evolves during this early stage of commercialization.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inventory is stated at the lower of cost or net realizable value (“NRV”) on a first-in and first-out basis. Determining net realizable value of finished goods and work in process inventories involves projecting average selling prices. When the estimated net realizable values are below the manufacturing costs, a charge to cost of revenue is recorded.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Capitalization of certain costs are recognized as an asset if they relate directly to a customer contract, generate or enhance resources of the entity that will be used in satisfying future performance obligations, and are expected to be recovered. If these three criteria are not met, the costs are expensed in the period incurred. Deferred costs are recognized as cost of revenue in the period when the related revenue is recognized.</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engineering services, allocated facilities costs, depreciation, development expenses, materials, labor and stock-based compensation related primarily to our (i) technology development, and (ii) design, construction, and testing of preproduction prototypes and models. Research and development costs are expensed as incurred.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date, research and development expenses have consisted primarily of personnel-related expenses for scientists, experienced engineers and technicians, as well as costs associated with the expansion and ramp up of our engineering and manufacturing facility, materials and supplies to support the product development and process engineering efforts. As we ramp up our engineering operations to complete the development of batteries and required process engineering to meet customer specifications, we anticipate that research and development expenses will continue to increase as we expand hiring of scientists, engineers and technicians and continue to invest in additional plant and equipment for product development, building prototypes and testing of batteries. We have a research and development center in India to focus on developing machine learning algorithms, battery modeling, material screening and electrolyte optimization. We also have a research and development team in Malaysia.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8285"/>
                <wp:effectExtent l="0" t="0" r="0" b="0"/>
                <wp:wrapNone/>
                <wp:docPr id="28" name="Frame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personnel-related expenses, marketing expenses, allocated facilities expenses, depreciation expenses, travel expenses, acquisition costs, and professional services expenses, including legal, human resources, audit, accounting and tax-related services. Personnel-related costs consist of salaries, benefits and stock-based compensation. Facilities costs consist of rent and maintenance of facilities.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and expense primarily consists of dividend income, interest income, interest expense, foreign currency transaction gain or loss and fair value adjustments for outstanding common stock warrants.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Income Tax</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tax provision consists of an estimate for U.S. federal, state and foreign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the recoverability of the tax assets is not more likely than not. We are subject to foreign statutory taxation for our international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8285"/>
                <wp:effectExtent l="0" t="0" r="0" b="0"/>
                <wp:wrapNone/>
                <wp:docPr id="29" name="Frame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pPr>
      <w:r>
        <w:rPr>
          <w:rFonts w:ascii="Times New Roman;serif" w:hAnsi="Times New Roman;serif"/>
          <w:b w:val="false"/>
          <w:i/>
          <w:color w:val="000000"/>
          <w:sz w:val="20"/>
        </w:rPr>
        <w:t>Comparison of the fiscal quarter and fiscal year-to-date ended July 5, 2026 to the fiscal quarter and fiscal year-to-date ended</w:t>
      </w:r>
      <w:r>
        <w:rPr>
          <w:color w:val="000000"/>
        </w:rPr>
        <w:t xml:space="preserve"> </w:t>
      </w:r>
      <w:r>
        <w:rPr>
          <w:rFonts w:ascii="Times New Roman;serif" w:hAnsi="Times New Roman;serif"/>
          <w:b w:val="false"/>
          <w:i/>
          <w:color w:val="000000"/>
          <w:sz w:val="20"/>
        </w:rPr>
        <w:t>June 29, 2025</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operating results for the periods presented below (in thousands):</w:t>
      </w:r>
    </w:p>
    <w:tbl>
      <w:tblPr>
        <w:tblW w:w="10730" w:type="dxa"/>
        <w:jc w:val="left"/>
        <w:tblInd w:w="0" w:type="dxa"/>
        <w:tblLayout w:type="fixed"/>
        <w:tblCellMar>
          <w:top w:w="28" w:type="dxa"/>
          <w:left w:w="28" w:type="dxa"/>
          <w:bottom w:w="28" w:type="dxa"/>
          <w:right w:w="28" w:type="dxa"/>
        </w:tblCellMar>
      </w:tblPr>
      <w:tblGrid>
        <w:gridCol w:w="641"/>
        <w:gridCol w:w="234"/>
        <w:gridCol w:w="236"/>
        <w:gridCol w:w="196"/>
        <w:gridCol w:w="661"/>
        <w:gridCol w:w="109"/>
        <w:gridCol w:w="109"/>
        <w:gridCol w:w="109"/>
        <w:gridCol w:w="109"/>
        <w:gridCol w:w="196"/>
        <w:gridCol w:w="661"/>
        <w:gridCol w:w="109"/>
        <w:gridCol w:w="109"/>
        <w:gridCol w:w="109"/>
        <w:gridCol w:w="109"/>
        <w:gridCol w:w="196"/>
        <w:gridCol w:w="556"/>
        <w:gridCol w:w="109"/>
        <w:gridCol w:w="109"/>
        <w:gridCol w:w="109"/>
        <w:gridCol w:w="109"/>
        <w:gridCol w:w="216"/>
        <w:gridCol w:w="220"/>
        <w:gridCol w:w="357"/>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216"/>
        <w:gridCol w:w="220"/>
        <w:gridCol w:w="410"/>
      </w:tblGrid>
      <w:tr>
        <w:trPr/>
        <w:tc>
          <w:tcPr>
            <w:tcW w:w="6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Years-to-Date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Research and development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from operations </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 of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benefit</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(43,518)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8"/>
              </w:rPr>
            </w:pPr>
            <w:r>
              <w:rPr>
                <w:rFonts w:ascii="Times New Roman;serif" w:hAnsi="Times New Roman;serif"/>
                <w:b w:val="false"/>
                <w:color w:val="000000"/>
                <w:sz w:val="18"/>
              </w:rPr>
              <w:t>(45,127)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for the fiscal quarter ended July 5, 2026 was $9.0 million, compared to $7.5 million for the fiscal quarter ended June 29, 2025. The increase in revenue of $1.6 million, or 21%, was principally from higher sales to defense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fiscal year-to-date ended July 5, 2026 was $16.6 million, compared to $12.6 million for the fiscal year-to-date ended June 29, 2025. The increase in revenue of $4.1 million, or 32%, was primarily attributable to increased sales to defense and industrial customers.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and December 28, 2025, we had $4.0 million and $5.3 million of deferred revenue 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fiscal quarter ended July 5, 2026 was $7.7 million, compared to $5.5 million for the fiscal quarter ended June 29, 2025. The increase in cost of revenue of $2.2 million, or 40%, was primarily attributable to higher production volume supporting the revenue growth netted with the lower cost to produce the defense product resulting from the acquisition of assets from SolarEdge Technologies Korea, Ltd. (“SETK”) in the second fiscal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fiscal year-to-date ended July 5, 2026 was $13.8 million, compared to $10.4 million during the prior fiscal year-to-date ended June 29, 2025. The increase in cost of revenue of $3.4 million, or 33%, was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8285"/>
                <wp:effectExtent l="0" t="0" r="0" b="0"/>
                <wp:wrapNone/>
                <wp:docPr id="30" name="Frame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attributable to higher production volume supporting the revenue growth netted with the lower costs to produce defense products resulting from the acquisition of assets from SETK in the second fiscal quarter of 2025.</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and December 28, 2025, we had $0.9 million and $0.8 million of deferred contract costs 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expenses during the fiscal quarter ended July 5, 2026 were $24.4 million, compared to $28.1 million during the fiscal quarter ended June 29, 2025. The decrease of $3.7 million, or 13%, was primarily attributable to lower salaries, benefits and stock-based compensation of $2.7 million, less materials usage of $1.7 million and lower contracting costs of $0.6 million. These decreases were offset by higher consumable usage of $0.6 million, higher common expenses allocation into R&amp;D of $0.3 million and higher depreciation expense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fiscal year-to-date ended July 5, 2026 were $51.0 million, compared to $54.1 million during the prior fiscal year-to-date ended June 29, 2025. The decrease of $3.1 million, or 6%, was primarily attributable to lower salaries, benefits and stock-based compensation of $3.4 million, less materials usage of $1.3 million and more costs being capitalized to fixed assets of $1.2 million. These decreases were offset by higher depreciation expense of $1.2 million, higher consumable usage of $1.2 million, higher contracting costs of $0.3 million and higher common expenses allocation into R&amp;D of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Times New Roman;serif" w:hAnsi="Times New Roman;serif"/>
          <w:b w:val="false"/>
          <w:color w:val="000000"/>
          <w:sz w:val="20"/>
          <w:u w:val="single"/>
        </w:rPr>
        <w:t>Sellin</w:t>
      </w:r>
      <w:r>
        <w:rPr>
          <w:rFonts w:ascii="Times New Roman;serif" w:hAnsi="Times New Roman;serif"/>
          <w:b w:val="false"/>
          <w:color w:val="000000"/>
          <w:sz w:val="20"/>
        </w:rPr>
        <w:t>g,</w:t>
      </w:r>
      <w:r>
        <w:rPr>
          <w:color w:val="000000"/>
          <w:u w:val="single"/>
        </w:rPr>
        <w:t xml:space="preserve"> </w:t>
      </w:r>
      <w:r>
        <w:rPr>
          <w:rFonts w:ascii="Times New Roman;serif" w:hAnsi="Times New Roman;serif"/>
          <w:b w:val="false"/>
          <w:color w:val="000000"/>
          <w:sz w:val="20"/>
          <w:u w:val="single"/>
        </w:rPr>
        <w:t>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fiscal quarter ended July 5, 2026 were $20.2 million, compared to $17.5 million for the fiscal quarter ended June 29, 2025. The increase of $2.6 million, or 15%, was primarily attributable to higher salaries, benefits and stock-based compensation of $1.9 million, higher consulting expenses of $0.9 million, facilities expenses of $0.4 million and higher depreciation expense of $0.3 million. These increases were offset by higher common expenses allocated to R&amp;D of $0.3 million and acquisition costs incurred in 2025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fiscal year-to-date ended July 5, 2026 were $39.1 million, compared to $34.4 million for the fiscal year-to-date ended June 29, 2025. The increase of $4.7 million, or 14%, was primarily attributable to higher salaries, benefits and stock-based compensation of $2.8 million, higher consulting expenses of $1.5 million, facilities expenses of $0.4 million and higher depreciation expense of $0.6 million. These increases were offset by higher common expenses allocated to R&amp;D of $0.1 million and acquisition costs incurred in 2025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pPr>
      <w:r>
        <w:rPr>
          <w:rFonts w:ascii="Times New Roman;serif" w:hAnsi="Times New Roman;serif"/>
          <w:b w:val="false"/>
          <w:color w:val="000000"/>
          <w:sz w:val="20"/>
          <w:u w:val="single"/>
        </w:rPr>
        <w:t>Change in Fair Value of Common Stock Warrants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fiscal quarter and fiscal year-to-date ended July 5, 2026, the changes in fair value of common stock warrants of $0.2 million and $6.6 million, respectively, were mainly attributable to a decrease in the fair value of the 5,500,000 Private Placement Warrants (as defined in Note 3 “Fair Value Measurement” of our Condensed Consolidated Financial Statements in this Quarterly Report on Form 10-Q). For the fiscal quarter and fiscal year-to-date ended June 29, 2025, the changes in fair value of common stock warrants of $5.9 million and $9.9 million, respectively, were attributable to a fluctuation in the fair value of the 5,500,000 Private Placement Warrants.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fair value of the Private Placement Warrants in each of these periods was primarily due to a decrease in our common stock price during the respective fiscal quarter. In addition, for fiscal quarter ended July 5, 2026, the fair value was also impacted by these warrants’ short remaining expected term. The Private Placement Warrants were unexercised and expired on July 14, 2026.</w:t>
      </w: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Gain on Bargain Purchase of Assets</w:t>
      </w:r>
    </w:p>
    <w:p>
      <w:pPr>
        <w:pStyle w:val="TextBody"/>
        <w:bidi w:val="0"/>
        <w:spacing w:lineRule="auto" w:line="27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2025, we acquired battery cell manufacturing assets located in South Korea from SETK for total purchase consideration of $10.0 million in cash. As a result of this business acquisition, we recorded $4.8 million of gain on bargain purchase as the estimated fair value of the acquired assets exceeded the purchase consideration. There was no gain on bargain purchase for the fiscal year-to-date ended July 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8285"/>
                <wp:effectExtent l="0" t="0" r="0" b="0"/>
                <wp:wrapNone/>
                <wp:docPr id="31" name="Frame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Income</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for fiscal quarter ended July 5, 2026 was $5.1 million, compared to $2.4 million during the fiscal quarter ended June 29, 2025. The increase of $2.7 million, or 112%, was primarily attributable to higher average cash balance and yields earned on short-term and long-term investments.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for fiscal year-to-date ended July 5, 2026 was $10.9 million, compared to $4.9 million during the fiscal year-to-date ended June 29, 2025. The increase of $6.0 million, or 124%, was primarily attributable to higher average cash balance and yields earned on short-term and long-term investments.</w:t>
      </w: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fiscal quarter ended July 5, 2026 was $6.5 million, compared to $1.7 million for the fiscal quarter ended June 29, 2025. The increase of $4.8 million, or 282%, was primarily attributable to the issuance of additional convertible senior notes in the third fiscal quarter of 2025.</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fiscal year-to-date ended July 5, 2026 was $13.5 million, compared to $3.4 million for the fiscal year-to-date ended June 29, 2025. The increase of $10.1 million, or 295%, was primarily attributable to the issuance of additional convertible senior notes in the third fiscal quarter of 2025.</w:t>
      </w:r>
    </w:p>
    <w:p>
      <w:pPr>
        <w:pStyle w:val="TextBody"/>
        <w:bidi w:val="0"/>
        <w:spacing w:lineRule="auto" w:line="26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fiscal quarter ended July 5, 2026 was $1.0 million, which primarily consisted of a one-time realized foreign exchange gain related to the Malaysia tenancy agreement being modified.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net for the fiscal quarter ended June 29, 2025 was $1.0 million, which primarily consisted of foreign currency losses due to the strengthening of the Malaysian Ringgits and the South Korean Won to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for the fiscal year-to-date ended July 5, 2026 was $1.3 million, which primarily consisted of a one-time realized foreign exchange gain related to the Malaysia tenancy agreement being modified and foreign currency losses due to the strengthening of Malaysian Ringgits to U.S. dollars. For fiscal year-to-date ended June 29, 2025, other income, net was $1.4 million, which primarily consisted of a one-time import duty forgiveness of $2.4 million offset by foreign currency losses due to the strengthening of the Malaysian Ringgits and the South Korean Won to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benefit for the fiscal quarter ended July 5, 2026 was $0.4 million compared to an income tax benefit of $0.9 million for fiscal quarter ended June 29, 2025. The tax benefit was calculated based on the estimated annual effective tax rate. The decrease of $0.5 million in tax benefit was primarily attributable to lower income tax benefit on the losses generated from certain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benefit for the fiscal year-to-date ended July 5, 2026 and June 29, 2025 was $0.6 million and $1.0 million, respectively, which was calculated based on the estimated annualized effective tax rate and was due to the income tax benefit in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8285"/>
                <wp:effectExtent l="0" t="0" r="0" b="0"/>
                <wp:wrapNone/>
                <wp:docPr id="32" name="Frame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68" w:before="160" w:after="283"/>
        <w:ind w:left="0" w:right="0" w:firstLine="360"/>
        <w:jc w:val="both"/>
        <w:rPr/>
      </w:pPr>
      <w:r>
        <w:rPr>
          <w:rFonts w:ascii="Times New Roman;serif" w:hAnsi="Times New Roman;serif"/>
          <w:b w:val="false"/>
          <w:color w:val="000000"/>
          <w:sz w:val="20"/>
        </w:rPr>
        <w:t xml:space="preserve">We have incurred operating losses and negative cash flows from operations since inception through July 5, 2026 and expect to continue to incur operating losses for the foreseeable future. As of July 5, 2026, we had cash, cash equivalents, restricted cash, and short-term and long-term investments of $552.1 million, </w:t>
      </w:r>
      <w:r>
        <w:rPr>
          <w:rFonts w:ascii="Times New Roman;serif" w:hAnsi="Times New Roman;serif"/>
          <w:b w:val="false"/>
          <w:color w:val="000000"/>
          <w:sz w:val="20"/>
          <w:shd w:fill="FFFFFF" w:val="clear"/>
        </w:rPr>
        <w:t xml:space="preserve">working capital of $453.6 million and an accumulated deficit of $1.06 billion. </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Material Cash Requirements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cash to fund operations, meet working capital requirements and fund our capital expenditures. For the remainder of fiscal year 2026, we expect that our cost of revenues and operating expenses will continue to increase as we ramp up our Fab2 operations.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fiscal year-to-date ended July 5, 2026, we used $12.8 million of our cash to fund our acquisitions of property and equipment. We will continue to increase our property and equipment purchases in the near future to support the build-out of our manufacturing facilities and our battery manufacturing production. For more information regarding our purchase commitments, please see the contractual obligations and commitments section below.</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anticipated spending and timing of expenditures to support operational development and market expansion, we currently expect that our cash will be sufficient to meet our funding requirements over the next twelve months from the date this Quarterly Report on Form 10-Q is filed. We believe we will meet longer-term expected future cash requirements and obligations through a combination of available cash, cash equivalents, operating cash flow improvement as revenue scales, and access to debt or equity capital markets. As of July 5, 2026, $76.6 million remained available under the Company’s share repurchase program and the Company intends to evaluate repurchase activity on an opportunistic basis while prioritizing liquidity to support operational growth. We have made our estimates based on historical experience and various other relevant factors and we believe that they are reasonable. Actual results may differ from our estimates, and we could utilize our available capital resources sooner than we expect. </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Summary of Cash Flows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cash flow data for the periods presented below (in thousands). </w:t>
      </w:r>
    </w:p>
    <w:tbl>
      <w:tblPr>
        <w:tblW w:w="9401" w:type="dxa"/>
        <w:jc w:val="left"/>
        <w:tblInd w:w="0" w:type="dxa"/>
        <w:tblLayout w:type="fixed"/>
        <w:tblCellMar>
          <w:top w:w="28" w:type="dxa"/>
          <w:left w:w="28" w:type="dxa"/>
          <w:bottom w:w="28" w:type="dxa"/>
          <w:right w:w="28" w:type="dxa"/>
        </w:tblCellMar>
      </w:tblPr>
      <w:tblGrid>
        <w:gridCol w:w="2005"/>
        <w:gridCol w:w="1757"/>
        <w:gridCol w:w="1772"/>
        <w:gridCol w:w="196"/>
        <w:gridCol w:w="721"/>
        <w:gridCol w:w="109"/>
        <w:gridCol w:w="109"/>
        <w:gridCol w:w="109"/>
        <w:gridCol w:w="109"/>
        <w:gridCol w:w="196"/>
        <w:gridCol w:w="811"/>
        <w:gridCol w:w="109"/>
        <w:gridCol w:w="109"/>
        <w:gridCol w:w="109"/>
        <w:gridCol w:w="109"/>
        <w:gridCol w:w="196"/>
        <w:gridCol w:w="721"/>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Years-to-Date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br/>
              <w:t>($)</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5</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Fiscal Year-to-Date Ended July 5, 2026 Compared to Prior Fiscal Year-to-Date Ended June 29, 2025 </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used in operating activities to date have been primarily comprised of operating expenses as we continue to ramp up our Fab2 operations. We expect our cash used in operating activities to increase significantly before we start to generate any material cash inflows from commercially manufacturing and selling our batteries.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$54.9 million for the fiscal year-to-date ended July 5, 2026. Net cash used in operating activities consisted of a net loss of $81.3 million, adjusted for non-cash items and the effect of changes in working capital. Non-cash adjustments primarily include the change in fair value of the Private Placement Warrants of $6.6 million, stock-based compensation expense of $24.8 million and depreciation and amortization expense, net of accretion of $19.4 million.</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$42.8 million for the fiscal year-to-date ended June 29, 2025. Net cash used in operating activities consisted of a net loss of $67.8 million, adjusted for non-cash items and the effect of changes in working capital. Non-cash adjustments primarily include the change in fair value of Private Placement Warrants of $9.9 million, stock-based compensation expense of $26.1 million and depreciation and amortization expense, net of accretion on investments of $17.3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8285"/>
                <wp:effectExtent l="0" t="0" r="0" b="0"/>
                <wp:wrapNone/>
                <wp:docPr id="33" name="Frame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before="160" w:after="283"/>
        <w:jc w:val="left"/>
        <w:rPr/>
      </w:pPr>
      <w:r>
        <w:rPr/>
      </w:r>
    </w:p>
    <w:p>
      <w:pPr>
        <w:pStyle w:val="TextBody"/>
        <w:bidi w:val="0"/>
        <w:spacing w:lineRule="auto" w:line="26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used in investing activities to date have been primarily comprised of purchases of property and equipment, as well as purchases of short-term and long-term investments. We expect the costs to acquire property and equipment will increase in the future as we continue to build-out our Fab2 facility, evaluate additional or alternative manufacturing capacity options and develop our battery manufacturing production lines in Malaysia.</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$15.3 million for the fiscal year-to-date ended July 5, 2026, which primarily consisted of $12.8 million of equipment purchases and $230.1 million of investment purchases offset by maturities of $227.6 million of investments.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fiscal year-to-date ended June 29, 2025 was $91.1 million, which primarily consisted of $14.2 million of equipment purchases and $85.5 million of short-term investment purchases.</w:t>
      </w:r>
    </w:p>
    <w:p>
      <w:pPr>
        <w:pStyle w:val="TextBody"/>
        <w:bidi w:val="0"/>
        <w:spacing w:lineRule="auto" w:line="26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$2.0 million for the fiscal year-to-date ended July 5, 2026, which primarily consisted of $3.4 million of payroll tax payments for shares withheld upon vesting of restricted stock units and $0.7 million used to fund the purchase of additional shares of Routejade from a minority shareholder.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$2.7 million for the fiscal year-to-date ended June 29, 2025, which primarily consisted of $0.5 million of transaction costs related to a secondary offering in the fourth quarter of 2024, and $2.9 million of payroll tax payments for shares withheld upon vesting of restricted stock units, partially offset by $0.8 million of proceeds from the exercise of stock options to purchase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5, 2026, we had $172.5 million aggregate principal amount of the 2028 Convertible Senior Notes outstanding with an interest rate of 3.0%, which will mature on May 1, 2028 unless earlier converted, redeemed or repurchased, and $360.0 million aggregate principal amount of the 2030 Convertible Senior Notes outstanding with an interest rate of 4.75%, which will mature on September 15, 2030 unless earlier converted, redeemed or repurchased. Please see Note 6 “Borrowings” of the notes to our condensed consolidated financial statements in Part I of this Quarterly Report on Form 10-Q for further information.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lease our headquarters in Fremont, California and Malaysia, and offices in the Asia Pacific region. For the lease payment schedule, please see Note 5 “Leases” of the notes to our condensed consolidated financial statements in Part I of this Quarterly Report on Form 10-Q.</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lease for our Fab2 manufacturing facility was originally scheduled to expire in July 2026, however, in April 2026, we signed a one-year renewal extending the expiration to July 31, 2027. The monthly rental payments under the terms of the lease are approximately RM962,267 (approximately $0.2 million U.S. dollars per month). See Note 5 “Leases” of the notes to our condensed consolidated financial statements in Part I of this Quarterly Report on Form 10-Q for further details regarding the lease renewal. The Company is evaluating its alternatives, including facility purchase, alternative manufacturing site options and further extension of the lease to support long-term operational continuity and future growth.</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enter into other commitments to support our product development, the build-out of our manufacturing facilities, and our business development, which are generally cancellable upon notice. Additionally, from time to time, we enter into agreements in the normal course of business with various vendors, which are generally cancellable upon notice. Payments due upon cancellation consist only of payments for services provided or expenses incurred, including non-cancellable obligations of service providers, up to the date of cancellation. As of July 5, 2026, our commitments included approximately $3.2 million of our open purchase orders, including equipment purchase orders, and contractual obligations that occurred in the ordinary course of business. For contractual obligations, please see Note 7 “Commitments and Contingencies” of the notes to our condensed consolidated financial statements in Part I of this Quarterly Report on Form 10-Q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in conformity with GAAP requires our management to make estimates and assumptions that affect the reported amounts of assets and liabilities in our consolidated financial statements and accompanying notes. We base these estimates on historical experience and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8285"/>
                <wp:effectExtent l="0" t="0" r="0" b="0"/>
                <wp:wrapNone/>
                <wp:docPr id="34" name="Frame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various other assumptions that we believe are reasonable under the circumstances, the results of which form the basis for making judgments about the carrying amounts of assets and liabilities that are not readily apparent from other sources. Actual results may differ materially from these estimates. These estimates and assumptions include but are not limited to: valuation of the Private Placement Warrants, the impairment of long-lived assets, the net realizable value of inventory, stock-based compensation relating to performance-based restricted stock units (“PRSUs”) and income taxes. We believe that application of these critical accounting estimates involves our subjective judgments and assumptions, which have had, or are reasonably likely to have, a material impact on our condensed consolidated financial statements.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critical accounting policies and estimates disclosed in Part II, Item 7 of our Annual Report on Form 10-K, except for the additions to the accounting policies on investments as noted in Note 2 “Summary of Significant Accounting Policies” of the notes to the condensed consolidated financial statements included in Part I, Item 1 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of the notes to our condensed consolidated financial statements in Part I of this Quarterly Report on Form 10-Q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a variety of market and other risks, including the effects of changes in interest rates, and inflation, as well as risks to the availability of funding sources, hazard events, and specific asset risks.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risk inherent in our financial instruments and financial position represents the potential loss arising from adverse changes in interest rates. As of July 5, 2026, we had cash, cash equivalents, restricted cash, and short-term and long-term investments totaling $552.1 million. Our cash, cash equivalents, and restricted cash are held in cash deposits, money market funds and U.S. treasury bills. The primary objectives of our investment activities are the preservation of capital and the fulfillment of liquidity needs. Our short-term and long-term investments consist of highly liquid fixed-income securities and we do not enter into investments for trading or speculative purposes. Due to the short-term nature of these instruments, we do not believe that an immediate 10% increase or decrease in interest rates would have a material effect on the fair value of our investment portfolio.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5, 2026, we had $172.5 million of the 2028 Convertible Senior Notes with an annual interest rate of 3.00%, and $360.0 million of the 2030 Convertible Senior Notes with an annual interest rate of 4.75%, which accounted for approximately 98% of our total debt before debt issuance costs, and the other borrowings are mostly with fixed interest rates. As such, we do not believe that we are exposed to any material interest rate risk as a result of our borrowing activities.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 financial markets could result in a tightening in the credit markets, a reduced level of liquidity in many financial markets, and extreme volatility in fixed income and credit markets.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fiscal year-to-date ended July 5, 2026, we conducted operations primarily in the U.S. and in Asia. The majority of our expenses, and capital purchasing activities are transacted in U.S. dollars. Our operations outside of the U.S. are subject to risks typical of operations outside of the U.S. including, but not limited to, differing economic conditions, changes in political climate, differing tax structures, other regulations and restrictions, and foreign exchange rate volatility. If a hypothetical 10% adverse change in foreign currency exchange rate was applied to our monetary assets and liabilities as of July 5, 2026, the effect of such change would not be material to our condensed consolidated financial condition or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managing risk relating to fluctuations in foreign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8285"/>
                <wp:effectExtent l="0" t="0" r="0" b="0"/>
                <wp:wrapNone/>
                <wp:docPr id="35" name="Frame3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our Chief Financial Officer, evaluated the effectiveness of our disclosure controls and procedures (as defined in Rules 13a-15(e) and 15d-15(e) under the Exchange Act). Based on the evaluation, our Chief Executive Officer and our Chief Financial Officer concluded, as of July 5, 2026, that our disclosure controls and procedures were effective at a reasonable assurance level.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July 5, 2026, which were identified in connection with management’s evaluation required by paragraph (d) of Rules 13a-15 and 15d-15 under the Exchange Act, that have materially affected, or are reasonably likely to materially affect, the Company’s internal control over financial reporting.</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the heading “Litigation” in Note 7 “Commitments and Contingencies” of the notes to the condensed consolidated financial statements included in Part I, Item 1 of this Quarterly Report on Form 10-Q for information regarding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Before you make a decision to buy our securities, you should carefully consider the risks and uncertainties described below together with all of the other information contained in this Quarterly Report on Form 10-Q, including our unaudited condensed consolidated financial statements and related notes and in the section titled “Management’s Discussion and Analysis of Financial Condition and Results of Operations.”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The risks facing our business have not changed substantively from those discussed in our Annual Report on Form 10-K, except for those risks marked with an asterisk (*).</w:t>
      </w:r>
    </w:p>
    <w:p>
      <w:pPr>
        <w:pStyle w:val="TextBody"/>
        <w:bidi w:val="0"/>
        <w:spacing w:lineRule="auto" w:line="288" w:before="1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Part II, Item 1A of this Quarterly Report on Form 10-Q below.</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will need to continue to improve our energy density, cycle life, fast charging, capacity roll off and gassing metrics in order to satisfy customer requirements and stay ahead of competition over time, which is difficult and we may not be able to do.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rely on a new and complex manufacturing process for our operations, and achieving volume production involves a significant degree of risk and uncertainty in terms of operational performance such as yield and costs.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we cannot successfully scale our manufacturing facilities to produce our lithium-ion battery cell in sufficient quantities to meet expected demand, improve productivity and bring additional facilities online, we may be unable to achieve our profitability targets and our business will be negatively impacted and could fail.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may be unable to adequately control the costs associated with our operations and the components necessary to build our lithium-ion battery cells.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8285"/>
                <wp:effectExtent l="0" t="0" r="0" b="0"/>
                <wp:wrapNone/>
                <wp:docPr id="36" name="Frame3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rely on a manufacturing agreement with a Malaysia-based company for some of the facilities, procurement, and personnel needs of our operations. Changes to our relationship with such third-party contract manufacturer, expected or unexpected, may result in delays or disruptions that could harm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operations in international markets, including our manufacturing operations, expose us to operational, financial and regulatory risks, as well as risks relating to geopolitical tensions and conflicts, including changes to trade policies and regulations.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global trade policies, tariffs, export controls and other cross-border restrictions could materially adversely affect our revenues, operating results and ability to source materials and equipment.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rely on third-party suppliers for critical components and equipment, and disruptions in these relationships could delay production and harm our business, results of operations, financial condition and cash flows.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Increases in raw material costs and supply disruptions resulting from global market and geopolitical conditions could increase our product costs and adversely affect our business and results of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Lengthy sales cycles, unpredictable safety risks and certain provisions of defense and other customer contracts may negatively impact our ability to maintain and grow our customer base, which could adversely affect our business and future prospects.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our batteries fail to perform as expected, our ability to develop, market and sell our batteries could be harmed.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have significant customer concentration in key market sectors and dependence on these customers creates a risk to our business and financial condition.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future growth and success depend on our ability to qualify new customers and the customer qualification cycles can take years to complete.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may not be able to accurately estimate the future supply and demand for our batteries,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have a history of financial losses and expect to incur significant expenses and continuing losses for the foreseeable future.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we are unable to develop our business and effectively commercialize our products as anticipated, we may not be able to generate revenue or achieve profitability.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We face significant barriers in our attempts to produce our products, our products are still under development, and we may not be able to successfully develop our products at commercial scale. If we cannot successfully overcome those barriers, our business will be negatively impacted and could fail.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have acquired and may continue to acquire other businesses, which could require significant management attention, disrupt our business, and dilute stockholder value.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Fluctuations in foreign currency exchange rates or interest rates have had, and could continue to have, an adverse impact on our financial condition and results of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Operational problems with our manufacturing equipment subject us to safety risks which, if not adequately addressed, could have a material adverse effect on our business, results of operations, cash flows, financial condition or prospects.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battery market continues to evolve and is highly competitive, and we may not be successful in competing in this industry or establishing and maintaining confidence in our long-term business prospects among current and future partners and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may become subject to product liability claims, which could harm our financial condition and liquidity if we are not able to successfully defend or insure against such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8285"/>
                <wp:effectExtent l="0" t="0" r="0" b="0"/>
                <wp:wrapNone/>
                <wp:docPr id="37" name="Frame3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keep up with rapid technological changes and evolving industry standards may cause our batteries to become less marketable or obsolete, resulting in a decrease in demand for our batteries and harm our ability to grow revenue and expand margins.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we are unable to attract and retain key employees and qualified personnel on a global basis, our business and prospects could be harmed.</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We have previously been, currently are, and may in the future be involved in class-action lawsuits and other litigation matters, including commercial and other contractual disputes, that are expensive and time-consuming. If resolved adversely, lawsuits and other litigation matters could seriously harm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may not have adequate funds to finance our operating needs and our growth, and may need to raise additional capital, which we may not be able to do.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Servicing our debt requires a significant amount of cash, and we may not have sufficient cash flow from our business to pay our substantial debt.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rely heavily on our intellectual property portfolio. If we are unable to protect our intellectual property rights, our business and competitive position would be harmed.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trading price of our common stock may be volatile, and the value of our common stock may decline.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tax laws or regulations that are applied adversely to us or our customers may have a material adverse effect on our business, cash flow, financial condition or results of operations</w:t>
      </w:r>
      <w:r>
        <w:rPr>
          <w:rFonts w:ascii="Times New Roman;serif" w:hAnsi="Times New Roman;serif"/>
          <w:b w:val="false"/>
          <w:color w:val="49494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Risks Related to Our Manufacturing and Scale-Up</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will need to continue to improve our energy density, cycle life, fast charging, capacity roll off and gassing metrics in order to satisfy customer requirements and stay ahead of competition over time, which is difficult, and we may not be able to do.</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roadmap to improve our energy density, cycle life, fast charging, capacity roll off and gassing metrics requires us to implement higher energy density materials for both cathodes and anodes, and electrolyte and separator materials. To successfully use these materials, we will have to optimize our cell designs including, but not limited to formulations, thicknesses, geometries, materials, chemistries and manufacturing tolerances and techniques. It could take us longer than we anticipate to incorporate these new materials or achieve certain cell performance specifications required by customers, particularly in instances where legacy battery testing methods may not adequately reflect real-world usage conditions for silicon-anode batteries, such as cycle life. In instances where alternative qualification frameworks are deemed necessary or certain metrics continue to show progress but do not meet required thresholds, customer acceptance may be delayed for an extended period of time, if obtained at all.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we will need to make improvements in our technology to achieve our energy density, cycle life, fast charge, capacity roll off and gassing metrics improvement roadmap. These improvements may not be possible, or could take longer, or be more difficult than forecasted. If we are unable to improve our packaging technology, this could reduce the performance of our products and delay the availability of products to customers, which would negatively impact our competitive potential.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rely on a new and complex manufacturing process for our operations, and achieving volume production involves a significant degree of risk and uncertainty in terms of operational performance such as yield and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have developed our lithium-ion battery technology, we rely heavily on a new and complex manufacturing process for the production of our lithium-ion battery cells, which is not currently operating at scale. To meet our projected future demand, we need to increase our manufacturing throughput and yield metrics. We expect that meeting our goals to improve throughput and yield will be a multi-quarter or potentially longer endeavor. We have in the past, and may in the future, experience delays in meeting these goals. We have more than one solution to improve manufacturing throughput and yield metrics, and it is uncertain which solution will be optimized for commercial scale. We use numerous vendors for subcomponents of the battery; changes in materials or vendor selection, or the failure of our solutions to improve yield, could negatively impact our ability to meet our throughput and yield metric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8285"/>
                <wp:effectExtent l="0" t="0" r="0" b="0"/>
                <wp:wrapNone/>
                <wp:docPr id="38" name="Frame3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work required to develop these manufacturing processes and integrate equipment into the production of our lithium-ion battery cells, including achieving our goals for throughput and yield, is time intensive and requires us to work closely with numerous equipment and tooling providers to ensure that the equipment works properly for our unique battery technology. The integration of new equipment into our production process involves a significant degree of uncertainty and risk, and we have not in the past and may not in the future be able to achieve our goals for throughput and yield. Further, integration work may result in the delay in the scaling up of production or result in additional costs to our battery cells, particularly if we encounter issues with performance or if we are unable to customize products for certain of our customers. Certain customers will likely require several months or longer to complete technology qualification before determining whether to accept a product that is manufactured at high volume, if at all</w:t>
      </w:r>
      <w:r>
        <w:rPr>
          <w:rFonts w:ascii="Times New Roman;serif" w:hAnsi="Times New Roman;serif"/>
          <w:b w:val="false"/>
          <w:color w:val="231F20"/>
          <w:sz w:val="20"/>
        </w:rPr>
        <w:t xml:space="preserve">. In addition, even if we are able to achieve volume production for </w:t>
      </w:r>
      <w:r>
        <w:rPr>
          <w:rFonts w:ascii="Times New Roman;serif" w:hAnsi="Times New Roman;serif"/>
          <w:b w:val="false"/>
          <w:color w:val="000000"/>
          <w:sz w:val="20"/>
        </w:rPr>
        <w:t>the existing uses of our batteries, we may face challenges relating to the scaling up of production for new uses of our batteries, including in the EV market and the market for AI-powered devices.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large-scale Gen2 manufacturing lines require large-scale machinery. We need one or more tooling vendors to produce custom products for our customers. Such machinery or tooling equipment has in the past suffered, and may in the future suffer, unexpected malfunctions from time to time and will require repairs and spare parts to resume operations, which may not be available when needed. Our tooling vendors may be new to the battery space or to producing silicon batteries and it may take longer to qualify and effectively utilize such tooling to make custom batteries. Further, our tooling may not be adequate for the various products our customers may demand and we may have to procure new or additional tooling to make products suitable for the market.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unexpected malfunctions of our production equipment have in the past significantly affected, and may in the future significantly affect, the intended operational efficiency. Qualified labor is needed to remedy any such equipment malfunction, which may not be readily available. Because this equipment has not previously been used to build lithium-ion battery cells, the operational performance and costs associated with the maintenance and repair of this equipment can be difficult to predict and may be influenced by factors outside of our control, such as, but not limited to, (i) failures by suppliers to deliver necessary components of our products in a timely manner and at prices and volumes acceptable to us, (ii) environmental hazards and remediation, (iii) difficulty or delays in obtaining governmental permits, (iv) damages or defects in systems, (v) cybersecurity intrusion and related disruptions; and (vi) industrial accidents, fires, seismic activity and other natural disasters. Further, we have in the past experienced power outages at our facilities and may again in the future. If outages are more frequent or longer in duration than expected, it could impact our ability to manufacture batteries in a timely manner. If our production equipment does not achieve the projected levels of its output or our production equipment becomes obsolete, it may be necessary to record an impairment charge to reduce the carrying value of our machinery and equipment, which would adversely affect our results of operations and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we are able to successfully complete development of and modify, as necessary, this new and complex manufacturing process, we may not be able to produce our lithium-ion batteries in commercial volumes in a cost-effective manner.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cannot successfully scale our manufacturing facilities to produce our lithium-ion battery cell in sufficient quantities to meet expected demand, improve productivity and bring additional facilities online, we may be unable to achieve our profitability targets, and our business will be negatively impacted and could fail.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relocated our Fab1 manufacturing operations from Fremont, California to Fab2 in Malaysia. We also completed site acceptance testing (“SAT”) and began production of batteries on our Agility line and completed factory acceptance testing (“FAT”), and SAT, for our High-Volume Manufacturing (“HVM”) line in Malaysia. However, our profitability targets rely on our ability to aggressively reduce the capital costs of our production lines and implement productivity improvements. If such efficiency gains are unsuccessful, we may be unable to achieve our target margin and profitability goals. We expect that our current manufacturing lines will be sufficient to produce batteries on a commercial scale, but not in high enough volumes to meet our long-term expected customer demand. Therefore, we are working to bring additional facilities online at Fab2 and in Korea, including evaluating additional or alternative manufacturing locations, as well as further refine our approach to improve yields over time.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we continue to experience manufacturing challenges, which can impact our ability to improve yields, we may have difficulty accepting additional customer demand due to capacity constraints, which could delay our growth. Furthermore, our current manufacturing operations in Malaysia are conducted in facilities that we are leasing from a third party, which may subject us to risks associated with renewals and potentially increased costs associated with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8285"/>
                <wp:effectExtent l="0" t="0" r="0" b="0"/>
                <wp:wrapNone/>
                <wp:docPr id="39" name="Frame3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renewals. If we are unable to successfully build, manage, renew or expand our existing manufacturing lines and any additional lines we may establish, or otherwise further refine our approach to improve yields, our prospects, financial condition and results of operations will be negatively impacted and our business could fail.</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overcome the manufacturing challenges and achieve volume production of our lithium-ion battery, if the cost, performance characteristics or other specifications of the battery fall short of our or our customers’ expectations and targets, our sales, product pricing and margins would likely be adversely affected. Our long-term target economics at scale assume we are able to obtain certain pricing levels for our batteries. If these assumptions are incorrect and/or customer demand is lower than expected, we may fail to achieve our target revenue and profitability goals and our results of operations and financial condition could be materially adversely affected.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unable to adequately control the costs associated with our operations and the components necessary to build our lithium-ion battery cells.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require significant capital to develop and grow our business and expect to incur significant expenses, including those relating to raw material procurement, leases, sales and distribution as we build our brand and market our batteries, and general and administrative costs as we scale our operations. Our ability to become profitable in the future will not only depend on our ability to successfully market our lithium-ion batteries and services, but also to control our costs. A large fraction of the cost of our battery, like most commercial batteries, is driven by the cost of component materials, such as anode and cathode powder, separator, pouch material, and current collectors. It also includes machined parts that are part of the package. Our cost reduction initiatives are based on a variety of factors, including extensive discussions with vendors, customers, industry analysts and independent research; however, an assumed cost reduction over time may be inaccurate if our forecasted demand does not materialize as planned. These estimates may prove inaccurate, which would adversely affect the expected profitability margins for our batteries.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cost-efficiently manufacture, market, sell and distribute our lithium-ion batteries and services, our margins, profitability and prospects would be materially and adversely affected. We have not yet produced any lithium-ion battery cells at significant volume, and our forecasted cost advantage for the production of these cells at scale, compared to conventional lithium-ion cells, will require us to achieve certain goals in connection with rates of throughput, use of electricity and consumables, yield and rate of automation demonstrated for mature battery, and battery material and manufacturing processes, that we have not yet achieved and may not achieve in the future. We intend to improve productivity and reduce the costs of our production lines compared to the first line we built. In addition, we are planning continuous productivity improvements going forward. If we are unable to achieve these targeted rates or productivity improvements, our business will be adversely impacted. </w:t>
      </w:r>
    </w:p>
    <w:p>
      <w:pPr>
        <w:pStyle w:val="TextBody"/>
        <w:bidi w:val="0"/>
        <w:spacing w:lineRule="auto" w:line="288" w:before="0" w:after="180"/>
        <w:ind w:left="0" w:right="0" w:firstLine="360"/>
        <w:jc w:val="both"/>
        <w:rPr/>
      </w:pPr>
      <w:r>
        <w:rPr>
          <w:rFonts w:ascii="Times New Roman;serif" w:hAnsi="Times New Roman;serif"/>
          <w:b w:val="false"/>
          <w:color w:val="000000"/>
          <w:sz w:val="20"/>
        </w:rPr>
        <w:t>Additionally, we have previously undertaken restructuring plans to manage our operating expenses and we may do so again in the future. Most recently, we completed a restructuring in 2024 designed to reduce our operating costs and support our strategic goals. As part of the restructuring plan, we relocated our manufacturing operations from our Fab1 facility in Fremont, California to Malaysia, resulting in a plan of workforce reduction in the U.S., as well as significant restructuring charges associated with equipment disposals as part of the relocation.</w:t>
      </w:r>
      <w:r>
        <w:rPr>
          <w:color w:val="231F20"/>
        </w:rPr>
        <w:t xml:space="preserve"> </w:t>
      </w:r>
      <w:r>
        <w:rPr>
          <w:rFonts w:ascii="Times New Roman;serif" w:hAnsi="Times New Roman;serif"/>
          <w:b w:val="false"/>
          <w:color w:val="000000"/>
          <w:sz w:val="20"/>
        </w:rPr>
        <w:t xml:space="preserve">Thus, we may in the future incur material costs and charges in connection with restructuring plans and initiatives and there can be no assurance that any such plans and initiatives will be successful, or that we will be able to adequately manage our operating expenses. Any restructuring plans may adversely affect our operations and ability to recruit and retain skilled and motivated personnel, result in a loss of continuity and accumulated knowledge, or inefficiency during the transition period, and will likely require a significant amount of employees’ time and focus, all of which may divert attention away from operating and growing our business. If we fail to achieve some or all of the expected benefits of any restructuring plans, which may be impacted by factors outside of our control, our business, operating results, and financial condition could be adversely affected. For more information, see Note </w:t>
      </w:r>
      <w:r>
        <w:rPr>
          <w:rFonts w:ascii="Times New Roman;serif" w:hAnsi="Times New Roman;serif"/>
          <w:b w:val="false"/>
          <w:color w:val="231F20"/>
          <w:sz w:val="20"/>
        </w:rPr>
        <w:t>15</w:t>
      </w:r>
      <w:r>
        <w:rPr>
          <w:color w:val="000000"/>
        </w:rPr>
        <w:t xml:space="preserve"> “</w:t>
      </w:r>
      <w:r>
        <w:rPr>
          <w:rFonts w:ascii="Times New Roman;serif" w:hAnsi="Times New Roman;serif"/>
          <w:b w:val="false"/>
          <w:color w:val="000000"/>
          <w:sz w:val="20"/>
        </w:rPr>
        <w:t>Restructuring Costs” of our Consolidated Financial Statements in our Annual Report on Form 10-K.</w:t>
      </w:r>
    </w:p>
    <w:p>
      <w:pPr>
        <w:pStyle w:val="TextBody"/>
        <w:bidi w:val="0"/>
        <w:spacing w:lineRule="auto" w:line="288" w:before="160" w:after="180"/>
        <w:jc w:val="both"/>
        <w:rPr>
          <w:rFonts w:ascii="Times New Roman;serif" w:hAnsi="Times New Roman;serif"/>
          <w:b/>
          <w:i/>
          <w:color w:val="000000"/>
          <w:sz w:val="20"/>
        </w:rPr>
      </w:pPr>
      <w:r>
        <w:rPr>
          <w:rFonts w:ascii="Times New Roman;serif" w:hAnsi="Times New Roman;serif"/>
          <w:b/>
          <w:i/>
          <w:color w:val="000000"/>
          <w:sz w:val="20"/>
        </w:rPr>
        <w:t>We rely on a manufacturing agreement with a Malaysia-based company for some of the facilities, procurement, and personnel needs of our operations. Changes to our relationship with such third-party contract manufacturer, expected or unexpected, may result in delays or disruptions that could harm our business.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2023, we entered into a 10-year manufacturing agreement (as amended, the “YBS Agreement”) with YBS International Berhad (“YBS”), a Malaysia-based investment holding company with operational segments including electronic manufacturing and assembly, high-precision engineering, precision machining and stamping, among others. If we are able to overcome the challenges in designing and refining our manufacturing process, we expect to operate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8285"/>
                <wp:effectExtent l="0" t="0" r="0" b="0"/>
                <wp:wrapNone/>
                <wp:docPr id="40" name="Frame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multiple manufacturing lines, with YBS providing certain facility, staffing, and procurement support services, to meet our expected customer demands.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2024, we entered into an amendment to the YBS Agreement, which modified certain payment terms and responsibilities of the parties. Pricing under the YBS Agreement is set on a cost-plus basis and we are subject to a minimum purchase commitment. We are obligated to pay a certain threshold amount each month over the term of the YBS Agreement depending on the level of orders we make to YBS for manufacturing. The ten-year term of the YBS Agreement expires in July 2033, subject to customary termination provisions.</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arrangement with YBS creates risks due to our reliance on YBS for various aspects of our manufacturing operations, including staffing, procurement and certain support services. Further, manufacturing in Malaysia is subject to possible disruptions due to power outages, equipment malfunction and failures, and supply chain disruptions relating to raw materials or components, among others. Our manufacturing operations may also be adversely affected by natural disasters and climate change. Other events, including political or public health crises, may affect our production capabilities or that of our suppliers, including lack of supplies. As a result, in addition to disruptions to operations, our insurance premiums may increase, or we may not be able to fully recover any sustained losses through insurance. If this manufacturing arrangement does not perform as expected, it may materially and adversely affect our results of operations, financial condition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lease our Fab2 manufacturing facility from an affiliate of YBS under a lease that was originally scheduled to expire in July 2026. In April 2026, we signed a one-year renewal extending the expiration to July 31, 2027. We regularly evaluate alternatives, including facility purchase, alternative manufacturing site options and further extension of the lease to support long-term operational continuity and future growth. However, if we fail to secure further lease extensions or otherwise timely implement alternatives with respect to our Fab2 manufacturing facility, we may experience disruptions in the operation of Fab2.</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YBS Agreement exposes us to risks because certain operational aspects are managed by YBS, which may reduce our direct control over the management of manufacturing processes, capacity constraints, delivery timetables, product quality assurance and costs. If we fail to effectively manage our relationship with YBS; if YBS is unable to meet our manufacturing requirements in a timely manner; or if we experience delays, disruptions or quality control problems, it may materially and adversely affect our business, prospects, financial condition and results of operations.</w:t>
      </w:r>
    </w:p>
    <w:p>
      <w:pPr>
        <w:pStyle w:val="TextBody"/>
        <w:bidi w:val="0"/>
        <w:spacing w:lineRule="auto" w:line="288" w:before="160" w:after="180"/>
        <w:jc w:val="both"/>
        <w:rPr>
          <w:rFonts w:ascii="Times New Roman;serif" w:hAnsi="Times New Roman;serif"/>
          <w:b/>
          <w:i/>
          <w:color w:val="000000"/>
          <w:sz w:val="20"/>
        </w:rPr>
      </w:pPr>
      <w:r>
        <w:rPr>
          <w:rFonts w:ascii="Times New Roman;serif" w:hAnsi="Times New Roman;serif"/>
          <w:b/>
          <w:i/>
          <w:color w:val="000000"/>
          <w:sz w:val="20"/>
        </w:rPr>
        <w:t>Our operations in international markets, including our manufacturing operations, expose us to operational, financial and regulatory risks, as well as risks relating to geopolitical tensions and conflicts, including changes to trade policies and regulations.</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last three years, we have expanded our global footprint through acquisitions as well as a restructuring of our manufacturing operations. Namely, in South Korea, we acquired a battery manufacturer in 2023, Routejade, as well as a second manufacturing facility and certain other related assets in 2025. During this time, we have also established a research and development center in Hyderabad, India, which supports the product and manufacturing teams in our other locations, and relocated all of our manufacturing activities from Fremont, California to Malaysia, as well as established a subsidiary in Shenzhen, China. Following the shift of our manufacturing facilities to Malaysia and a reduction in force that primarily affected our U.S. operations, a higher percentage of our employees and a significant portion of our business operations are located overseas, while our leadership team is primarily located in the U.S. Additionally, relationships with customers and potential customers outside of the U.S. accounted for a significant portion of our revenues during 2025.</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are continuing to adapt to and develop strategies to address international markets and to manage our international activities and geographically diverse workforce, there is no guarantee that such efforts will have the desired effect. We have in the past and may continue to experience operational challenges associated with global business operations and a globally dispersed workforce, such as coordinating activities across multiple time zones and cultures and maintaining consistent operations standards across diverse locations. In addition, effective collaboration between R&amp;D and manufacturing teams located overseas, and other parts of the organization, may be hindered by distance, language and cultural differences, which may have a negative impact on product innovation and overall operational efficacy.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8285"/>
                <wp:effectExtent l="0" t="0" r="0" b="0"/>
                <wp:wrapNone/>
                <wp:docPr id="41" name="Frame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having significant international operations, including our manufacturing operations, we are subject to a number of risks, including:</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burdens of complying with a wide variety of laws and regulations;</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unexpected changes in regulatory requirements;</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exposure to political or economic instability and general economic fluctuations in the countries we operate;</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changes in currency exchange rates;</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changes in diplomatic and trade relationships;</w:t>
      </w:r>
    </w:p>
    <w:p>
      <w:pPr>
        <w:pStyle w:val="TextBody"/>
        <w:bidi w:val="0"/>
        <w:spacing w:lineRule="auto" w:line="288" w:before="0" w:after="180"/>
        <w:ind w:left="0" w:right="0" w:hanging="360"/>
        <w:jc w:val="both"/>
        <w:rPr>
          <w:color w:val="000000"/>
        </w:rPr>
      </w:pPr>
      <w:r>
        <w:rPr>
          <w:color w:val="000000"/>
        </w:rPr>
        <w:t xml:space="preserve">• </w:t>
      </w:r>
      <w:r>
        <w:rPr>
          <w:rFonts w:ascii="Times New Roman;serif" w:hAnsi="Times New Roman;serif"/>
          <w:b w:val="false"/>
          <w:color w:val="000000"/>
          <w:sz w:val="20"/>
        </w:rPr>
        <w:t>trade restrictions;</w:t>
      </w:r>
    </w:p>
    <w:p>
      <w:pPr>
        <w:pStyle w:val="TextBody"/>
        <w:bidi w:val="0"/>
        <w:spacing w:lineRule="auto" w:line="288" w:before="0" w:after="180"/>
        <w:ind w:left="0" w:right="0" w:hanging="360"/>
        <w:jc w:val="both"/>
        <w:rPr>
          <w:color w:val="000000"/>
        </w:rPr>
      </w:pPr>
      <w:r>
        <w:rPr>
          <w:color w:val="000000"/>
        </w:rPr>
        <w:t xml:space="preserve">• </w:t>
      </w:r>
      <w:r>
        <w:rPr>
          <w:rFonts w:ascii="Times New Roman;serif" w:hAnsi="Times New Roman;serif"/>
          <w:b w:val="false"/>
          <w:color w:val="000000"/>
          <w:sz w:val="20"/>
        </w:rPr>
        <w:t>terrorist activities, natural disasters, epidemics, pandemics and other outbreaks, including the regional or local impacts of any such activity;</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political, economic and social instability, war or armed conflict;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differing employment practices and laws and labor disruptions, including strikes and other work stoppages, strains on the available labor pool, labor unrest, changes in labor costs and other employment dynamics;</w:t>
      </w:r>
    </w:p>
    <w:p>
      <w:pPr>
        <w:pStyle w:val="TextBody"/>
        <w:bidi w:val="0"/>
        <w:spacing w:lineRule="auto" w:line="288" w:before="0" w:after="180"/>
        <w:ind w:left="0" w:right="0" w:firstLine="360"/>
        <w:jc w:val="both"/>
        <w:rPr>
          <w:color w:val="000000"/>
        </w:rPr>
      </w:pPr>
      <w:r>
        <w:rPr>
          <w:color w:val="000000"/>
        </w:rPr>
        <w:t xml:space="preserve">• </w:t>
      </w:r>
      <w:r>
        <w:rPr>
          <w:rFonts w:ascii="Times New Roman;serif" w:hAnsi="Times New Roman;serif"/>
          <w:b w:val="false"/>
          <w:color w:val="000000"/>
          <w:sz w:val="20"/>
        </w:rPr>
        <w:t>the imposition of government controls;</w:t>
      </w:r>
    </w:p>
    <w:p>
      <w:pPr>
        <w:pStyle w:val="TextBody"/>
        <w:bidi w:val="0"/>
        <w:spacing w:lineRule="auto" w:line="288" w:before="0" w:after="180"/>
        <w:ind w:left="0" w:right="0" w:hanging="360"/>
        <w:jc w:val="both"/>
        <w:rPr>
          <w:color w:val="000000"/>
        </w:rPr>
      </w:pPr>
      <w:r>
        <w:rPr>
          <w:color w:val="000000"/>
        </w:rPr>
        <w:t xml:space="preserve">• </w:t>
      </w:r>
      <w:r>
        <w:rPr>
          <w:rFonts w:ascii="Times New Roman;serif" w:hAnsi="Times New Roman;serif"/>
          <w:b w:val="false"/>
          <w:color w:val="000000"/>
          <w:sz w:val="20"/>
        </w:rPr>
        <w:t>lesser degrees of intellectual property protection;</w:t>
      </w:r>
    </w:p>
    <w:p>
      <w:pPr>
        <w:pStyle w:val="TextBody"/>
        <w:bidi w:val="0"/>
        <w:spacing w:lineRule="auto" w:line="288" w:before="0" w:after="180"/>
        <w:ind w:left="0" w:right="0" w:hanging="360"/>
        <w:jc w:val="both"/>
        <w:rPr>
          <w:color w:val="000000"/>
        </w:rPr>
      </w:pPr>
      <w:r>
        <w:rPr>
          <w:color w:val="000000"/>
        </w:rPr>
        <w:t xml:space="preserve">• </w:t>
      </w:r>
      <w:r>
        <w:rPr>
          <w:rFonts w:ascii="Times New Roman;serif" w:hAnsi="Times New Roman;serif"/>
          <w:b w:val="false"/>
          <w:color w:val="000000"/>
          <w:sz w:val="20"/>
        </w:rPr>
        <w:t>tariffs and customs duties, or other barriers to some international markets, and the classifications of our goods by applicable governmental bodies; and</w:t>
      </w:r>
    </w:p>
    <w:p>
      <w:pPr>
        <w:pStyle w:val="TextBody"/>
        <w:bidi w:val="0"/>
        <w:spacing w:lineRule="auto" w:line="288" w:before="0" w:after="180"/>
        <w:ind w:left="0" w:right="0" w:hanging="360"/>
        <w:jc w:val="both"/>
        <w:rPr>
          <w:color w:val="000000"/>
        </w:rPr>
      </w:pPr>
      <w:r>
        <w:rPr>
          <w:color w:val="000000"/>
        </w:rPr>
        <w:t xml:space="preserve">• </w:t>
      </w:r>
      <w:r>
        <w:rPr>
          <w:rFonts w:ascii="Times New Roman;serif" w:hAnsi="Times New Roman;serif"/>
          <w:b w:val="false"/>
          <w:color w:val="000000"/>
          <w:sz w:val="20"/>
        </w:rPr>
        <w:t>a legal system subject to undue influence or corruption.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geopolitical climate and certain actions by the U.S. administration have created uncertainty regarding and fluctuations in trade policies, and our operations and business are subject to these uncertainties given the extent of our international operations and dependencies on international supply chains and access to international employees. These factors and risks could negatively affect our international business operations, increase the difficulty or cost of selling our products in (or restrict our access to) certain foreign markets, divert management’s attention, and increase our costs, which would adversely affect our business, operating results, growth prospects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global trade policies, tariffs, export controls and other cross-border restrictions could materially adversely affect our revenues, operating results and ability to source materials and equipment.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our international operations, we face heightened risks relating to trade policies and disputes that result in increased tariffs, trade barriers, retaliatory tariffs and other trade restrictions and protectionist measures, including export controls, licensing requirements and other regulatory restrictions on cross-border trade. For example, the United States has recently imposed or proposed significant new tariffs on a large number of products and components imported into the U.S. and could propose additional tariffs or increases to those already in place. It is unknown whether and to what extent these tariffs will remain in place or whether other new laws or regulations will be adopted. While there is currently a trade pact with China, additional or new tariffs may be imposed reciprocally. It is difficult to predict what further trade-related actions governments may take, including the extent of retaliatory actions, and our business may be negatively impacted if we are unable to quickly and effectively react to any such actions.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overall tension in U.S.-China trade relations and the possibility of additional tariffs has created uncertainty in our industry and may negatively affect certain of our suppliers, as well as our ability to source components or raw materials. In particular, our facilities are located in Malaysia, India and South Korea and our products require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8285"/>
                <wp:effectExtent l="0" t="0" r="0" b="0"/>
                <wp:wrapNone/>
                <wp:docPr id="42" name="Frame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and equipment manufactured outside these countries, including China. If such materials and equipment do not fall under any exemption to the newly imposed tariffs or reciprocal tariffs, or are subject to other trade barriers or restrictions, such as China’s Regulation on Export Control of Dual-Use Items, it could materially impact our ability to obtain materials and equipment, or effective alternative sources of such items, on commercially reasonable terms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broad uncertainty regarding the timing, content and extent of global trade policy changes in the U.S. and internationally, we cannot accurately predict the full extent to which these changes will affect our business, financial condition and results of operations. We believe the direct impact of tariffs on our business is currently manageable given the location of our international operations; however, the indirect effects of U.S. tariffs on products containing our batteries could be significant. Any failure by us to adapt quickly to changes in global trade policy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third-party suppliers for critical components and equipment, and disruptions in these relationships could delay production and harm our business, results of operations, financial condition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third-party suppliers for components and equipment necessary to develop and manufacture our lithium-ion batteries, including key supplies such as anode, cathode, electrolyte and separator materials, as well as specialized manufacturing equipment. If we are unable to enter into or maintain supply arrangements on acceptable terms, if our suppliers experience delays or capacity constraints, or if they fail to meet our quality, cost or volume requirements, we could experience delays in product development and manufacturing timelines.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unavailability of key components or equipment could result in delays in constructing manufacturing equipment, idle manufacturing facilities, product design changes and loss of access to important technology and tools for producing and supporting our lithium-ion batteries production, as well as reduced manufacturing capacity. We have in the past experienced, and may continue to experience, suppliers that are unwilling or unable to meet our timing, cost, quality or volume needs, which may require us to identify alternative suppliers, potentially at higher cost or with additional delays. There can be no assurance that alternative sources will be available in a timely manner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suppliers may experience financial distress or business continuity issues, including bankruptcy or receivership, which could further disrupt our production timelines and our ability to configure equipment to operate at target performance levels. For example, one of our equipment suppliers went into receivership in the first half of 2024. To the extent our equipment suppliers experience business continuity challenges in the future, it may disrupt our production timelines, negatively impact our ability to successfully configure the equipment to run at its target performance and limit our ability to operate such equipment. Any failure by our suppliers to deliver critical components or equipment in a timely and reliable manner, at the cost and quality we require, could materially and adversely affect our business, prospects, financial condition, results of operations and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Increases in raw material costs and supply disruptions resulting from global market and geopolitical conditions could increase our product costs and adversely affect our business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processes depend on raw materials such as lithium, silicon, graphite, nickel, cobalt, copper and other metals, the prices and availability of which are subject to significant volatility and uncertainty. These materials are affected by global market conditions and supply and demand dynamics, including as a result of increased global production of EVs and energy storage products, inflationary pressures, supply chain disruptions, pandemics or other public health crises, and war or other armed conflicts. We have also experienced increased logistics and freight costs as a result of supply chain challenges in the past, and we may not be able to negotiate purchase agreements and delivery lead-times for such materials on advantageous terms in the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Reduced availability of these materials or significant price increases could raise the cost of our components and consequently, the cost of our products. We may be unable to negotiate favorable supply terms or pass through increased costs to customers, which could negatively affect our margins and operating results. In addition, certain materials and components may be produced internally or treated as proprietary by large battery manufacturers, limiting their availability to third parties.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Finally, global economic, political and regulatory developments may further constrain the availability of these raw materials or increase procurement and logistics costs. Because our facilities are located in Malaysia, India and South Korea and our products depend on materials and equipment sourced from multiple countries, disruptions affecting upstream suppliers or transportation networks could have a disproportionate impact on our cost structure. Any disruption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8285"/>
                <wp:effectExtent l="0" t="0" r="0" b="0"/>
                <wp:wrapNone/>
                <wp:docPr id="43" name="Frame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supply or significant increase in the cost of raw materials or logistics could materially and adversely affect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Risks Related to Our Customers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Lengthy sales cycles, unpredictable safety risks and certain provisions of defense and other customer contracts may negatively impact our ability to maintain and grow our customer base, which could adversely affect our business and future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products are typically on yearly or longer refresh cycles. Due to the lengthy sales cycles, if we miss qualification timing by even a small amount, the impact to our production schedule, revenue and profits could be large and may mean that our guidance or revenue forecasts for fiscal year do not materialize as expected. While we intend to meet all qualification criteria, some field reliability risks remain such as cycle life, long-term high-temperature storage capacity and swelling, among others. Batteries are known in the market to have historically faced risks associated with safety, and therefore customers can be reluctant to take risks on new battery technologies. Since new battery technologies have not been widely adopted by customers in the battery market, it may be difficult for us to overcome customer risk objections. If unanticipated product safety problems arise, it may raise warranty costs and adversely affect revenue and profit.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sales to defense customers often involve standard form contracts, which may not be subject to negotiation. In particular, certain of these contracts involve unlimited damages provisions that could result in large-scale liabilities.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our batteries fail to perform as expected, our ability to develop, market and sell our batteries could be harmed.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 limited number of returns of batteries that have failed to perform as expected. As commercial production of our lithium-ion battery cells increases, our batteries have in the past and may in the future contain defects in design and manufacture that may cause them to not perform as expected or that may require repairs, recalls and design changes. Our batteries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lithium-ion batteries. There can be no assurance that we will be able to detect and fix any defects in our lithium-ion batteries prior to the sale to potential consumers. If our batteries fail to perform as expected, we could lose design wins and customers may delay deliveries, terminate further orders or initiate product recalls, each of which could adversely affect our sales and brand and could adversely affect our business, prospects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cell architecture is different than other batteries and may behave differently in certain customer use applications that we have not evaluated. This could limit our ability to deliver to certain applications, including, but not limited to smartphones, IoT, smart eyewear, action cameras, portable gaming and smartwatches, and other AI-powered devices. In addition, we have limited historical data on the performance and reliability of our batteries over time. If our batteries fail unexpectedly in the field, such failures could result in significant warranty costs and/or reputational harm. For example, the electrodes and separator structure of our battery are different from traditional lithium-ion batteries and therefore could be susceptible to different and unknown failure modes, leading our batteries to fail and cause a safety event in the field, which could further result in the failure of our end customers’ products as well as the loss of life or property. Any safety event in the field, but in particular, one in which the end product failure results in significant loss, could result in severe financial penalties for us, including the loss of revenue, cancellation of supply contracts and the inability to win new business due to the reputational harm that results. In addition, some of our supply agreements require us to fund some or all of the cost of a recall and replacement of end products affected by our batteries.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have significant customer concentration in key market sectors and dependence on these customers creates a risk to our business and financial condition.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face risks associated with customer concentration, which could adversely affect our financial condition, results of operations, and business prospects. Our current revenue stream is derived largely from a limited number of key customers, particularly those in the defense sector. One customer, a defense subcontractor in South Korea, accounted for the majority of our total revenue for the fiscal quarter ended July 5, 2026 and fiscal year 2025. As a result of this customer concentration, our financial performance is highly sensitive to the retention, performance, and ongoing demand from our significant customers. The loss, or material reduction in business, from any significant customer, whether due to strategic shifts, sourcing decisions, financial distress, bankruptcy, or other factors, could result in a sudden and material decline in our revenue and cash flows. Moreover, the terms and conditions of contracts with these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8285"/>
                <wp:effectExtent l="0" t="0" r="0" b="0"/>
                <wp:wrapNone/>
                <wp:docPr id="44" name="Frame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customers may not provide us with sufficient protection against fluctuations in demand, changes in pricing, or competitive pressures, which could have a material adverse impact on our business, financial condition,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rely on a single supplier for components to manufacture products for our defense customers and any disruption in the supply of components would negatively impact our ability to perform under such contracts and significantly negatively impact our revenues and profit margin. Should we have to replace our single supplier, or renegotiate the terms of our current supplier agreement, we may be unable to establish or obtain competitively favorable terms, which would also negatively impact our revenues and profit margin under our defense customer contracts. Furthermore, government contracts associated with customers in the defense sector are often subject to a variety of complex procurement laws and regulations relating to the award, administration and performance of those contracts. Changes in government procurement policy, priorities, regulations, technology initiatives and/or technical and compliance requirements may negatively impact our ability to continue to earn revenue from government and defense customers. Furthermore, government entities may implement policies that restrict or negatively affect our ability to sell our products and services.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Lack of diversification increases our susceptibility to adverse events affecting our key </w:t>
      </w:r>
      <w:r>
        <w:rPr>
          <w:rFonts w:ascii="Times New Roman;serif" w:hAnsi="Times New Roman;serif"/>
          <w:b w:val="false"/>
          <w:color w:val="231F20"/>
          <w:sz w:val="20"/>
        </w:rPr>
        <w:t xml:space="preserve">customers. </w:t>
      </w:r>
      <w:r>
        <w:rPr>
          <w:rFonts w:ascii="Times New Roman;serif" w:hAnsi="Times New Roman;serif"/>
          <w:b w:val="false"/>
          <w:color w:val="000000"/>
          <w:sz w:val="20"/>
        </w:rPr>
        <w:t xml:space="preserve">For example, the expiration, termination, or renegotiation of contracts, whether from the integration of these customers as a result of the acquisition or otherwise, could lead to uncertainty and volatility in our revenue stream. While we may seek to mitigate the risks associated with customer concentration through diversification efforts, expanded market reach, and enhanced customer relationship management, there can be no assurance that such measures will be successful in offsetting the potential adverse impacts of customer concentration. </w:t>
      </w:r>
      <w:r>
        <w:rPr>
          <w:rFonts w:ascii="Times New Roman;serif" w:hAnsi="Times New Roman;serif"/>
          <w:b w:val="false"/>
          <w:color w:val="231F20"/>
          <w:sz w:val="20"/>
        </w:rPr>
        <w:t xml:space="preserve">The </w:t>
      </w:r>
      <w:r>
        <w:rPr>
          <w:rFonts w:ascii="Times New Roman;serif" w:hAnsi="Times New Roman;serif"/>
          <w:b w:val="false"/>
          <w:color w:val="000000"/>
          <w:sz w:val="20"/>
        </w:rPr>
        <w:t>loss of a significant customer or a substantial reduction in business volume from key accounts could have a material adverse effect on our financial performance, cash flows, and ability to fund our operations, capital expenditures, and strategic initiatives.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future growth and success depend on our ability to qualify new customers and the customer qualification cycles can take years to complete.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growth will depend in large part on our ability to qualify new customers. We have invested heavily in qualifying our customers and plan to continue to do so. We are in the early stages of growth in our existing markets, and we expect to substantially raise brand awareness by connecting directly with our customers. We anticipate that these activities will lead to additional deliveries, and, as a result, increase our base of qualified customers. An inability to attract new customers would substantially impact our ability to grow revenue or improve our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 qualification cycles are long and it can take many years for our products to qualify for customer shipment. There are numerous and rigorous safety, performance and other tests that we need to pass to achieve a customer design win. If we fail to qualify new customers in a timely manner, our business, financial condition and operating results may be harmed.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future growth and success depend on our ability to sell effectively to, and manage relationships with large enterprise and defense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potential customers are manufacturers of products that tend to be large enterprises and organizations, including defense customers. Therefore, our future success will depend on our ability to effectively sell our products to such large customers. Sales to these end-customers involve risks that may not be present (or that are present to a lesser extent) with sales to smaller customers. These risks include, but are not limited to, increased purchasing power and leverage held by large customers in negotiating contractual arrangements with us and longer sales cycles and the associated risk that substantial time and resources may be spent on a potential end-customer that elects not to purchase our lithium-ion battery solutions.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Large organizations often undertake a significant evaluation process that results in a lengthy sales cycle. In addition, product purchases by large organizations are frequently subject to budget constraints, multiple approvals and unanticipated administrative, processing and other delays. Finally,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8285"/>
                <wp:effectExtent l="0" t="0" r="0" b="0"/>
                <wp:wrapNone/>
                <wp:docPr id="45" name="Frame4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pPr>
      <w:r>
        <w:rPr>
          <w:rFonts w:ascii="Times New Roman;serif" w:hAnsi="Times New Roman;serif"/>
          <w:b/>
          <w:i/>
          <w:color w:val="000000"/>
          <w:sz w:val="20"/>
        </w:rPr>
        <w:t>We may not be able to accurately estimate the future supply and demand for our batteries, which could result in a variety of inefficiencies in our business and hinder our ability to generate revenue. If we fail to accurately predict our manufacturing requirements, we could incur additional costs or experience delays.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difficult to predict our future revenue and therefore accurately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batteries or our ability to develop, manufacture and deliver batteries, or our profitability in the future. If we overestimate our requirements, our suppliers may have excess inventory, which would indirectly increase our costs. If we underestimate our requirements, our suppliers may have inadequate inventory, which could interrupt manufacturing of our products and result in delayed shipments and revenue. Factors outside our control may also affect the demand for our batteries. For example, many of the expected end products for our batteries are manufactured in China. If the political situation between China and the U.S. were to deteriorate, it could prevent our customers from purchasing our batteries.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batteries to our potential customers could be delayed, which would harm our business, financial condition and operating results.</w:t>
      </w:r>
    </w:p>
    <w:p>
      <w:pPr>
        <w:pStyle w:val="TextBody"/>
        <w:bidi w:val="0"/>
        <w:spacing w:lineRule="auto" w:line="288" w:before="160" w:after="283"/>
        <w:jc w:val="both"/>
        <w:rPr/>
      </w:pPr>
      <w:r>
        <w:rPr>
          <w:rFonts w:ascii="Times New Roman;serif" w:hAnsi="Times New Roman;serif"/>
          <w:b/>
          <w:i/>
          <w:color w:val="000000"/>
          <w:sz w:val="20"/>
        </w:rPr>
        <w:t>Increases in sales of our lithium-ion battery cells may expose us to the risks associated with manufacturing batteries for unique customer specifications and increase our dependency upon specific customers, including due to the costs to develop and qualify our system solutions.</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development of our lithium-ion battery cells is dependent, in part, upon successfully identifying and meeting our customers’ specifications for those products. Developing and manufacturing lithium-ion batteries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customers, we may experience a significant adverse impact on our revenue and margins. Even if we are successful in selling lithium-ion batteries to our customers in sufficient volume, we may be unable to generate sufficient profit if per-unit manufacturing costs exceed per-unit selling prices. Manufacturing lithium-ion batteries to customer specifications requires a longer development cycle, as compared to discrete products, to design, test and qualify, which may increase our costs. We have limited experience with this customer design process and currently have limited capacity at our manufacturing facilities. If we are unsuccessful in meeting customer specifications, scaling our manufacturing capabilities and/or providing anticipated post-delivery product support services, we may be unable to effectively manage and grow our business, including developing products for multiple customers’ design specifications in a timely manner, which could harm our business, prospects, financial condition and operating results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Risks Related to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231F20"/>
          <w:sz w:val="20"/>
        </w:rPr>
      </w:pPr>
      <w:r>
        <w:rPr>
          <w:rFonts w:ascii="Times New Roman;serif" w:hAnsi="Times New Roman;serif"/>
          <w:b/>
          <w:i/>
          <w:color w:val="231F20"/>
          <w:sz w:val="20"/>
        </w:rPr>
        <w:t>We have a history of financial losses and expect to incur significant expenses and continuing losses for the foreseeable future.</w:t>
      </w:r>
    </w:p>
    <w:p>
      <w:pPr>
        <w:pStyle w:val="TextBody"/>
        <w:bidi w:val="0"/>
        <w:spacing w:lineRule="auto" w:line="288" w:before="160" w:after="283"/>
        <w:ind w:left="0" w:right="0" w:firstLine="360"/>
        <w:jc w:val="both"/>
        <w:rPr/>
      </w:pPr>
      <w:r>
        <w:rPr>
          <w:rFonts w:ascii="Times New Roman;serif" w:hAnsi="Times New Roman;serif"/>
          <w:b w:val="false"/>
          <w:color w:val="231F20"/>
          <w:sz w:val="20"/>
        </w:rPr>
        <w:t>We incurred n</w:t>
      </w:r>
      <w:r>
        <w:rPr>
          <w:rFonts w:ascii="Times New Roman;serif" w:hAnsi="Times New Roman;serif"/>
          <w:b w:val="false"/>
          <w:color w:val="000000"/>
          <w:sz w:val="20"/>
        </w:rPr>
        <w:t xml:space="preserve">et loss attributable to Enovix </w:t>
      </w:r>
      <w:r>
        <w:rPr>
          <w:rFonts w:ascii="Times New Roman;serif" w:hAnsi="Times New Roman;serif"/>
          <w:b w:val="false"/>
          <w:color w:val="231F20"/>
          <w:sz w:val="20"/>
        </w:rPr>
        <w:t xml:space="preserve">of approximately </w:t>
      </w:r>
      <w:r>
        <w:rPr>
          <w:rFonts w:ascii="Times New Roman;serif" w:hAnsi="Times New Roman;serif"/>
          <w:b w:val="false"/>
          <w:color w:val="000000"/>
          <w:sz w:val="20"/>
        </w:rPr>
        <w:t>$43.1 million and $44.5 million</w:t>
      </w:r>
      <w:r>
        <w:rPr>
          <w:rFonts w:ascii="Times New Roman;serif" w:hAnsi="Times New Roman;serif"/>
          <w:b w:val="false"/>
          <w:color w:val="231F20"/>
          <w:sz w:val="20"/>
        </w:rPr>
        <w:t>, respectively, for the fiscal quarters ended</w:t>
      </w:r>
      <w:r>
        <w:rPr>
          <w:color w:val="000000"/>
        </w:rPr>
        <w:t xml:space="preserve"> </w:t>
      </w:r>
      <w:r>
        <w:rPr>
          <w:rFonts w:ascii="Times New Roman;serif" w:hAnsi="Times New Roman;serif"/>
          <w:b w:val="false"/>
          <w:color w:val="000000"/>
          <w:sz w:val="20"/>
        </w:rPr>
        <w:t>July 5, 2026 and June 29, 2025,</w:t>
      </w:r>
      <w:r>
        <w:rPr>
          <w:color w:val="231F20"/>
        </w:rPr>
        <w:t xml:space="preserve"> </w:t>
      </w:r>
      <w:r>
        <w:rPr>
          <w:rFonts w:ascii="Times New Roman;serif" w:hAnsi="Times New Roman;serif"/>
          <w:b w:val="false"/>
          <w:color w:val="231F20"/>
          <w:sz w:val="20"/>
        </w:rPr>
        <w:t>and had an accumulated deficit of approximately $</w:t>
      </w:r>
      <w:r>
        <w:rPr>
          <w:rFonts w:ascii="Times New Roman;serif" w:hAnsi="Times New Roman;serif"/>
          <w:b w:val="false"/>
          <w:color w:val="000000"/>
          <w:sz w:val="20"/>
        </w:rPr>
        <w:t>1.06 billion</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July 5, 2026</w:t>
      </w:r>
      <w:r>
        <w:rPr>
          <w:rFonts w:ascii="Times New Roman;serif" w:hAnsi="Times New Roman;serif"/>
          <w:b w:val="false"/>
          <w:color w:val="231F20"/>
          <w:sz w:val="20"/>
        </w:rPr>
        <w:t xml:space="preserve">. We believe that we will continue to incur operating and net losses each quarter until at least the time we begin significant production of our lithium-ion batteries. </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currently expect that we will continue to incur losses in future periods as we, among other things: (i) continue to incur additional expenses in connection with the development of our manufacturing process and the manufacturing of our batteries; (ii) secure additional manufacturing lines and invest in manufacturing capabilities; (iii) build up inventory of components for our batteries; (iv) build up supplies of batteries for projected demand; (v) increase our sales and marketing activities; (vi) develop our distribution infrastructure; and (vii) increase our general and administrative functions to support our growing operations. We may find that these efforts are more expensive than we currently anticipate or that these efforts may not result in substantial increase in our revenue, which would further increase our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8285"/>
                <wp:effectExtent l="0" t="0" r="0" b="0"/>
                <wp:wrapNone/>
                <wp:docPr id="46" name="Frame4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If we are unable to develop our business and effectively commercialize our products as anticipated, we may not be able to generate revenue or achieve profitability.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silicon batteries, the growth and development of our operations will depend on the successful commercialization and market acceptance of our products and our ability to manufacture products at scale while timely meeting customers’ demands. Our silicon batteries are in the early stages of commercialization and certain aspects of our technology have not been fully field tested. For example, there is no certainty that, once shipped, our products will operate as expected, and we may not be able to generate sufficient customer confidence in our latest designs and ongoing product improvements. For our graphite batteries, we may not be able to maintain or sustain our existing customers. Our customers’ battery needs are dependent on their end market demand, and they may place purchase orders and cancel them due to lack of demand. There are inherent uncertainties in our ability to predict future demand for our products and, as a consequence, we may have inadequate production capacity to meet demand, or alternatively, have excess available capacity. Our inability to predict the extent of customer adoption of our proprietary technologies makes it difficult to evaluate our future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experience significant delays or order cancellations from these customers, or if we fail to develop our products in accordance with contract specifications, then our operating results and financial condition will be adversely affected. In addition, there is no assurance that if we alter or change our products in the future, that the demand for these new products will develop, which could adversely affect our business and any possible revenue. If our products are not deemed desirable and suitable for purchase and we are unable to establish a customer base, we may not be able to generate revenue or attain profitability. In addition, if we are unable to deliver our engineering services on a timely basis, we may be unable to attract and engage new or existing customers for engineering service contracts and we may not be able to generate revenue or attain profitability.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face significant barriers in our attempts to produce our products, our products are still under development, and we may not be able to successfully develop our products at commercial scale. If we cannot successfully overcome those barriers, our business will be negatively impacted and could fail.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Producing lithium-ion batteries that meet the requirements for wide adoption by industrial and consumer applications is a difficult undertaking. We are still in the early stages of commercialization and face significant challenges achieving the long-term energy density targets for our products and producing our products in commercial volumes. Some of the challenges that could prevent the widespread adoption of our lithium-ion batteries include difficulties with (i) increasing the volume, yield and reliability of our cells, (ii) increasing manufacturing capacity to produce the volume of cells needed to meet demand, (iii) optimizing higher volume manufacturing equipment for scale, (iv) packaging our batteries to ensure adequate cycle life, (v) material cost reductions, (vi) qualifying new vendors, (vii) expanding supply chain capacity, (viii) the completion of rigorous and challenging battery safety testing required by our customers or partners, including but not limited to, performance, cycle life and abuse testing and (ix) the development of the final manufacturing processes for optimal yield and throughput.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encounter yield, material cost, performance and manufacturing process challenges as we develop products from the AI-1 platform and ramp to volume commercial production. Further, we are likely to encounter engineering challenges as we increase the capacity of our batteries and efficiency of our manufacturing process. If we are unable to overcome these challenges in producing our batteries, our business could fail.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Gen2 manufacturing equipment requires qualified labor to inspect the parts to ensure proper assembly. We have already experienced equipment malfunctions, and the lack of qualified labor to inspect our batteries may further slow our production and impact our manufacturing costs and production schedule.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we complete development and achieve volume production of our lithium-ion batteries, if the cost, performance characteristics or other specifications of the batteries fall short of our targets, our sales, product pricing and margins will be adversely affected.</w:t>
      </w:r>
    </w:p>
    <w:p>
      <w:pPr>
        <w:pStyle w:val="TextBody"/>
        <w:bidi w:val="0"/>
        <w:spacing w:lineRule="auto" w:line="288" w:before="160" w:after="283"/>
        <w:jc w:val="both"/>
        <w:rPr/>
      </w:pPr>
      <w:r>
        <w:rPr>
          <w:rFonts w:ascii="Times New Roman;serif" w:hAnsi="Times New Roman;serif"/>
          <w:b/>
          <w:i/>
          <w:color w:val="000000"/>
          <w:sz w:val="20"/>
        </w:rPr>
        <w:t>We have acquired and may continue to acquire other businesses, which could require significant management attention, disrupt our business, and dilute stockholder value</w:t>
      </w:r>
      <w:r>
        <w:rPr>
          <w:rFonts w:ascii="Times New Roman;serif" w:hAnsi="Times New Roman;serif"/>
          <w:b/>
          <w:i/>
          <w:color w:val="231F20"/>
          <w:sz w:val="24"/>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2023, we acquired Routejade, a manufacturer of lithium-ion batteries in South Korea, and in April 2025, acquired a second manufacturing facility in South Korea from SETK. Although we have limited experience with acquisitions, we may in the future undertake acquisitions of other companies, products or technologies for the ongoing development and expansion of our operations. We may be unable to identify suitable acquisition candidates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8285"/>
                <wp:effectExtent l="0" t="0" r="0" b="0"/>
                <wp:wrapNone/>
                <wp:docPr id="47" name="Frame4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complete acquisitions on favorable terms, if at all. If we do complete acquisitions, we may not ultimately strengthen our competitive position or achieve our goals, and any acquisitions we complete could be viewed negatively by existing and potential customers, vendors, suppliers, business partners or investors. For example, while we believe that the SETK assets and facility expansion in South Korea will support capacity expansion at Fab2 and add production capacity for South Korean defense programs, there is no assurance that we will be able to realize these strategic benefits from the SETK acquisition. In addition, we may not be able to integrate acquired businesses successfully or effectively manage the combined company following an acquisition. If we fail to successfully integrate our acquisitions, or the people or technologies associated with acquisitions, into our company, the results of operations of the combined company could be adversely affected.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integration process will require significant time and resources, attention from management and will likely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 We may not be able to fully realize the anticipated profits or other benefits of any particular transaction in the timeframe we expect or at all due to competition, market trends, additional costs or investments, the actions of advisors, suppliers or other third parties, or other factors. Future acquisitions may result in significant costs and expenses. Further, if we fail to identify significant issues with any acquisition target during the due diligence process, we may be liable for significant and unforeseen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previously, and may in the future, pay cash, incur debt or issue equity securities to pay for any such acquisition, any of which could negatively affect our financial condition or the value of our capital stock. The sale of our equity to finance any such acquisitions could result in dilution to our stockholders. If we incur more debt, it will result in increased fixed obligations and could also subject us to covenants or other restrictions that would impede our ability to flexibly operate our business.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Fluctuations in foreign currency exchange rates and interest rates have had, and could continue to have, an adverse impact on our financial condition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the effects of changes in both foreign currency exchange rates and interest rates. Because a significant portion of our cash and investments are held in U.S. Treasury securities and other interest-bearing instruments, movements in interest rates can materially affect our investment income and the fair value of our marketable securities. Rising rates generally increase interest income on new investments, while falling rates could reduce interest income. In addition, we conduct a material portion of our operations outside of the United States, including South Korea, Malaysia and other countries in Asia. Fluctuations in foreign currency exchange rates, particularly for the Korean won, Indian rupee, and Malaysian ringgit, could have an adverse impact on our financial condition and results of operations.</w:t>
      </w:r>
    </w:p>
    <w:p>
      <w:pPr>
        <w:pStyle w:val="TextBody"/>
        <w:bidi w:val="0"/>
        <w:spacing w:lineRule="auto" w:line="288" w:before="160" w:after="283"/>
        <w:jc w:val="both"/>
        <w:rPr/>
      </w:pPr>
      <w:r>
        <w:rPr>
          <w:rFonts w:ascii="Times New Roman;serif" w:hAnsi="Times New Roman;serif"/>
          <w:b/>
          <w:i/>
          <w:color w:val="000000"/>
          <w:sz w:val="20"/>
        </w:rPr>
        <w:t>Operational problems with our manufacturing equipment subject us to safety risks which, if not adequately addressed, could have a material adverse effect on our business, results of operations, cash flows, financial condition or prospects</w:t>
      </w:r>
      <w:r>
        <w:rPr>
          <w:rFonts w:ascii="Times New Roman;serif" w:hAnsi="Times New Roman;serif"/>
          <w:b/>
          <w:i/>
          <w:color w:val="231F20"/>
          <w:sz w:val="24"/>
        </w:rPr>
        <w: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Operational problems with our manufacturing equipment subject us to safety risks which, if not adequately addressed, could result in the personal injury to or death of workers, the loss of production equipment, damage to manufacturing facilities, monetary losses, delays and unanticipated fluctuations in production. From time to time, we have experienced fires at our manufacturing facilities. While we have retained industry experts and designed our factories with appropriate safety precautions to address the fire risk of manufacturing batteries and to minimize the impact of any such event, if these precautions are inadequate or an event larger than expected, such occurrences could result in significant equipment, product or facility damage that could lead to manufacturing delays, adversely affect the timing of deliveries to customers and require additional cash to recover.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 Further, if other battery manufacturers experience fire hazards that result in personal injury or death, it may lead to public perception challenges and unfavorable conditions for all industry participants, regardless of their individual safety records.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8285"/>
                <wp:effectExtent l="0" t="0" r="0" b="0"/>
                <wp:wrapNone/>
                <wp:docPr id="48" name="Frame4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Lithium-ion battery modules in the marketplace have been observed to catch fire or vent smoke and flame, and such events have raised concerns over the use of such batteries.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develop lithium-ion battery cells for industrial and consumer equipment and intend to supply these lithium-ion battery cells for industrial and consumer applications. Historically, lithium-ion batteries in laptops and cellphones have been reported to catch fire or vent smoke and flames, and more recently, news reports have indicated that several EVs that use high-power lithium-ion batteries caught on fire. Any such adverse publicity or reports reflecting fire and other safety hazards associated with the use of high-power batteries in automotive or other industrial or consumer applications will negatively affect our business and prospects. In addition, any failure of our battery cells may cause damage to the industrial or consumer equipment or lead to personal injury or death and may subject us to lawsuits.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Our risks in this area are particularly pronounced given our lithium-ion batteries and BrakeFlow</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technology have not yet been commercially tested or mass produced. We may have to recall our battery cells, which would be time-consuming and expensive. A product liability claim could generate substantial negative publicity about our batteries and business and inhibit or prevent commercialization of other future battery candidates, which would have a material adverse effect on our brand, business, prospects and operating results. Our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product liability claims, injuries, defects or other problems experienced by other companies in the lithium-ion battery market could lead to unfavorable market conditions for the industry as a whole, and may have an adverse effect on our ability to attract new customers, thus harming our growth and financial performance.</w:t>
      </w:r>
    </w:p>
    <w:p>
      <w:pPr>
        <w:pStyle w:val="TextBody"/>
        <w:bidi w:val="0"/>
        <w:spacing w:lineRule="auto" w:line="288" w:before="160" w:after="283"/>
        <w:jc w:val="both"/>
        <w:rPr/>
      </w:pPr>
      <w:r>
        <w:rPr>
          <w:rFonts w:ascii="Times New Roman;serif" w:hAnsi="Times New Roman;serif"/>
          <w:b/>
          <w:i/>
          <w:color w:val="000000"/>
          <w:sz w:val="20"/>
        </w:rPr>
        <w:t>The battery market continues to evolve and is highly competitive, and we may not be successful in competing in this industry or establishing and maintaining confidence in our long-term business prospects among current and future partners and customers.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battery market in which we compete continues to evolve and is highly competitive. Our current competitors have, and future competitors may have, greater resources than we do and may also be able to devote greater resources to the development of their current and future technologies. These competitors also may have greater access to customers and may be able to establish cooperative or strategic relationships amongst themselves or with third parties that may further enhance their resources and competitive positioning. Furthermore, existing and potential customers have developed, and may in the future develop, their own battery technologies with improvements in energy density faster than they have historically and what we have assumed, continue to reduce cost and expand supply of conventional batteries and therefore reduce our energy density advantage and price premium, which would negatively impact the prospects for our business or negatively impact our ability to sell our products at a market-competitive price and sufficient margins.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Developments in alternative technologies, improvements in batteries technology made by competitors, or changes in our competitors’ respective business models may materially adversely affect the sales, pricing and gross margins of our batteries. If a competing technology is developed that has superior operational or price performance, our business will be harmed. Further, our financial modeling assumes that, in addition to improving our core architecture over time, we are able to retain access to state-of-the-art industry materials as they are developed. If industry battery competitors develop their own proprietary materials, we would be unable to access these and would lose our competitive advantage in the market. If we fail to accurately predict and ensure that our battery technology can address customers’ changing needs or emerging technological trends, or if our customers fail to achieve the benefits expected from our lithium-ion batteries, our business will be harmed.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must continue to commit significant resources to develop our battery technology in order to establish a competitive position, and these commitments will be made without knowing whether such investments will result in products potential customers will accept. There is no assurance we will successfully identify new customer requirements or develop and bring our batteries to market on a timely basis, or that products and technologies developed by others will not render our batteries obsolete or noncompetitive, any of which would adversely affect our business and operating results. Further, if we are unable to improve our energy density at a rate faster than the industry, our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8285"/>
                <wp:effectExtent l="0" t="0" r="0" b="0"/>
                <wp:wrapNone/>
                <wp:docPr id="49" name="Frame4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advantage will erode. In addition, if we fail to produce batteries in large scale volume production at reduced unit cost, it may negatively impact our competitive advantage in the industry.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will be less likely to purchase our batteries if they are not convinced that our business will succeed in the long term. Similarly, suppliers and other third parties will be less likely to invest time and resources in developing business relationships with us if they are not convinced that our business will succeed in the long term. Accordingly, in order to build and maintain our business, we must maintain confidence among current and future partners, customers, suppliers, analysts, ratings agencies and other parties in our long-term financial viability and business prospects. Maintaining such confidence may be particularly complicated by certain factors including those that are largely outside of our control, such as our limited operating history, market unfamiliarity with our products, any delays in scaling manufacturing, delivery and service operations to meet demand, competition and uncertainty regarding our production and sales performance compared with market expectations. In addition, due to competition, we may face pricing pressure and may not be able to charge the prices we would like or achieve profitability on the timeline we plan.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We could face state-sponsored competition from overseas and may not be able to compete in the market on the basis of price.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One or more foreign governments, including the Chinese government, have concluded that battery technology and battery manufacturing is a national strategic priority and therefore have instituted official economic policies meant to support these activities. These policies may provide our competitors with artificially lower costs. If these lower costs materialize and enable competitive products to be sold into our markets at prices that, if applied to us, would cause us to become unprofitable, our ability to continue operating could be threatened.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failure to keep up with rapid technological changes and evolving industry standards may cause our batteries to become less marketable or obsolete, resulting in a decrease in demand for our batteries and harm our ability to grow revenue and expand margins.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lithium-based battery market is characterized by changing technologies and evolving industry standards, which are difficult to predict. This, coupled with frequent introduction of new products and models, has shortened product life cycles and may render our batteries less marketable or obsolete. Also, our ability to grow revenue and expand margins will depend on our ability to develop and launch new product designs that are attractive to our customers. If we fail to invest in the development of new products and technologies, we may lose the opportunity to compete effectively or at all. Third parties, including our competitors, may improve their technologies or even achieve technological breakthroughs that could decrease the demand for our batteries. Our ability to adapt to evolving industry standards and anticipate future standards and market trends will be a significant factor in maintaining and improving our competitive position and our prospects for growth.</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may become subject to product liability claims, which could harm our financial condition and liquidity if we are not able to successfully defend or insure against such claims.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Highly publicized incidents of laptop computers and cell phones bursting into flames have focused attention on the safety of lithium-ion batteries. If one of our products were to cause personal injury or property damage, including as a result of product malfunctions, defects or improper installation leading to a fire or other hazardous condition, we may become subject to product liability claims, even those without merit, which could harm our business, prospects, operating results and financial condition. We face inherent risk of exposure to claims in the event our batteries do not perform as expected or malfunction resulting in personal injury or death. Our risks in this area are particularly pronounced given our batteries have a limited history of commercial testing and mass production. A successful product liability claim against us could require us to pay a substantial monetary award. Moreover, a product liability claim could generate substantial negative publicity about our batteries and business and inhibit or prevent commercialization of other future battery product candidates, which would have material adverse effect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8285"/>
                <wp:effectExtent l="0" t="0" r="0" b="0"/>
                <wp:wrapNone/>
                <wp:docPr id="50" name="Frame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pPr>
      <w:r>
        <w:rPr>
          <w:rFonts w:ascii="Times New Roman;serif" w:hAnsi="Times New Roman;serif"/>
          <w:b/>
          <w:i/>
          <w:color w:val="000000"/>
          <w:sz w:val="20"/>
        </w:rPr>
        <w:t>If we are unable to attract and retain key employees and qualified personnel on a global basis, our business and prospects could be harmed</w:t>
      </w:r>
      <w:r>
        <w:rPr>
          <w:rFonts w:ascii="Times New Roman;serif" w:hAnsi="Times New Roman;serif"/>
          <w:b/>
          <w:i/>
          <w:color w:val="231F20"/>
          <w:sz w:val="24"/>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attract and retain our executive officers, key employees and other qualified personnel on a global basis, and, as a relatively small company with key talent residing in a limited number of employees, our operations and prospects may be severely disrupted if we lose any one or more of their services. There have been, and may continue to be, changes in our management team resulting from the departure or onboarding of executives and key employees, which could disrupt our business. For example, in addition to turnover of key executive positions in 2023, our Chief Financial Officer stepped down in December 2024, we created a new role and appointed a Chief Accounting Officer at the end of December 2024, appointed a new Chief Financial Officer in April 2025, and our Chief Operating Officer announced his retirement, effective February 2026, after which we appointed a new Chief Operating Officer in the third quarter of fiscal 2026. Such changes in our executive management team or workforce may be disruptive to our business, divert management’s attention, result in a loss of knowledge and negatively impact employee morale.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 We are dependent on the continued service of our senior technical and management personnel because of the complexity of our products. Our senior management and key employees are employed on an at-will basis. We cannot ensure you that we will be able to retain the services of our senior management team or other key employees, or that we will be able to timely replace such employees. The loss of one or more of our senior management or other key employees could harm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While some of our employees are bound by non-competition agreements, these may prove to be unenforceable. The failure to attract, integrate, train, motivate and retain these personnel could seriously harm our business and prospects.</w:t>
      </w:r>
    </w:p>
    <w:p>
      <w:pPr>
        <w:pStyle w:val="TextBody"/>
        <w:bidi w:val="0"/>
        <w:spacing w:lineRule="auto" w:line="288" w:before="160" w:after="283"/>
        <w:jc w:val="both"/>
        <w:rPr/>
      </w:pPr>
      <w:r>
        <w:rPr>
          <w:rFonts w:ascii="Times New Roman;serif" w:hAnsi="Times New Roman;serif"/>
          <w:b/>
          <w:i/>
          <w:color w:val="000000"/>
          <w:sz w:val="20"/>
        </w:rPr>
        <w:t>If we are unable to maintain effective internal control over financial reporting in the future, or implement or integrate effective internal control over financial reporting with respect to any acquired entities or subsidiaries, investors may lose confidence in the accuracy and completeness of our financial reports, and the market price of our common stock may be materially adversely affected.</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we and our independent registered public accounting firm identified two material weaknesses in our internal control over financial reporting, all of which have since been remediated. We did not identify any material weakness in the periods covered by this report. With respect to any future acquisition, we may encounter unexpected integration challenges, and such integration process may take longer than anticipated, which may have a negative impact on our ability to report effectively on our internal controls. If we are unable to successfully integrate any future acquisition into our existing internal control over financial reporting processes in a timely manner, our ability to accurately report our financial results could be negatively impacted.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if, in the future,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litigation from investors and stockholders, which could harm our reputation and our financial condition, and/or divert financial and management resources from our core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8285"/>
                <wp:effectExtent l="0" t="0" r="0" b="0"/>
                <wp:wrapNone/>
                <wp:docPr id="51" name="Frame5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incurred and will continue to incur significant increased expenses and administrative burdens as a public company, which could negatively impact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increased legal, accounting, administrative and other costs and expenses as a public company that we would not incur as a private company. The Sarbanes-Oxley Act of 2002,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increases costs and makes certain activities more time consuming.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if any issues in complying with those requirements are identified (for example, if we identify a material weakness or significant deficiency in the internal control over financial reporting), we could incur additional costs rectifying those issues, and the existence of those issues could adversely affect our reputation or investor perceptions of us. It may also be more expensive to obtain director and officer liability insurance. Risks associated with our status as a public company may make it more difficult to attract and retain qualified persons to serve on our Board of Directors or as executive officers. As a public company, we have additional reporting and other obligations, which lead to higher legal, accounting and administrative costs for supporting regulatory compliance requirements. These increased costs require us to divert a significant amount of money that could otherwise be used to expand the business and achieve strategic objectives. Advocacy efforts by stockholders and third parties may also prompt additional changes in governance and reporting practices, which could further increase our compliance costs.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are working to upgrade our enterprise resource planning (“ERP”) system in order to further streamline the management of our financial, accounting, human resources, sales and marketing and other functions and enable us to manage our operations and performance more effectively. However, an upgrade of our ERP system will likely require significant resources for us to complete the implementation effectively, which may result in substantial costs. Additionally, any disruptions or difficulties in using an ERP system could adversely affect our controls and harm our business, including our ability to forecast or make sales and collect our receivables, any of which could have a material adverse affect on our business, operations and financial condition. Moreover, such disruption or difficulties could result in unanticipated costs and diversion of management attention.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have previously been, currently are, and may in the future be involved in class-action lawsuits and other litigation matters, including commercial and other contractual disputes, that are expensive and time-consuming. If resolved adversely, lawsuits and other litigation matters could seriously harm our business.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have previously been, currently are, and may in the future be subject to litigation, such as putative class action and shareholder derivative lawsuits brought by stockholders. We may also be involved in other legal proceedings and commercial or contractual disputes that, from time to time, are significant. These are typically claims that arise in the normal course of business including, without limitation, warranty claims and other disputes with potential customers and suppliers, intellectual property matters, personal injury claims, environmental issues, and tax and employment matters. </w:t>
      </w:r>
      <w:r>
        <w:rPr>
          <w:rFonts w:ascii="Times New Roman;serif" w:hAnsi="Times New Roman;serif"/>
          <w:b w:val="false"/>
          <w:color w:val="231F20"/>
          <w:sz w:val="20"/>
        </w:rPr>
        <w:t xml:space="preserve">See Note 7 “Commitments and Contingencies” of our Condensed Consolidated Financial Statements in this </w:t>
      </w:r>
      <w:r>
        <w:rPr>
          <w:rFonts w:ascii="Times New Roman;serif" w:hAnsi="Times New Roman;serif"/>
          <w:b w:val="false"/>
          <w:color w:val="000000"/>
          <w:sz w:val="20"/>
        </w:rPr>
        <w:t>Quarterly Report on Form 10-Q for a discussion of pending litigation.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It is difficult to predict the outcome, duration or ultimate financial exposure, if any, represented by these matters, and there can be no assurance that any such exposure will not be material. Any litigation to which we are a party may result in an onerous or unfavorable judgment that may not be reversed on appeal, or we may decide to settle lawsuits on similarly unfavorable terms. Any such negative outcome could result in payments of substantial monetary damages, which would negatively impact our business and stock price, and to the extent such damages are paid in stock rather than cash, would result in dilution to our current stockholders. Regardless of the final outcome, defending litigation is costly and can impose a significant burden on management and employees. Legal proceedings, contractual disputes and claims may also divert management’s attention away from our business operations, negatively affect our reputation and/or result in increased compliance costs. We have in the past, and may in the future, receive unfavorable preliminary, interim, or final rulings in pending matters, which could damage our reputation and seriously harm our business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8285"/>
                <wp:effectExtent l="0" t="0" r="0" b="0"/>
                <wp:wrapNone/>
                <wp:docPr id="52" name="Frame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Risks Related to Our Capital Needs and Capital Strategy</w:t>
      </w:r>
    </w:p>
    <w:p>
      <w:pPr>
        <w:pStyle w:val="TextBody"/>
        <w:bidi w:val="0"/>
        <w:spacing w:lineRule="auto" w:line="288" w:before="160" w:after="283"/>
        <w:jc w:val="both"/>
        <w:rPr/>
      </w:pPr>
      <w:r>
        <w:rPr>
          <w:rFonts w:ascii="Times New Roman;serif" w:hAnsi="Times New Roman;serif"/>
          <w:b/>
          <w:i/>
          <w:color w:val="000000"/>
          <w:sz w:val="20"/>
        </w:rPr>
        <w:t>We may not have adequate funds to finance our operating needs and our growth, and may need to raise additional capital, which we may not be able to do</w:t>
      </w:r>
      <w:r>
        <w:rPr>
          <w:rFonts w:ascii="Times New Roman;serif" w:hAnsi="Times New Roman;serif"/>
          <w:b/>
          <w:i/>
          <w:color w:val="231F20"/>
          <w:sz w:val="24"/>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design, manufacture and sale of batteries is a capital-intensive business. As a result of the capital-intensive nature of our business, we can be expected to continue to sustain substantial operating expenses without generating sufficient revenue to cover expenditures. We may need to raise additional capital to expand our current production capabilities or to acquire additional manufacturing lines and facilities in the jurisdictions in which we operate. Adequate additional funding may not be available to us on acceptable terms or at all, and if the financial markets become difficult or costly to access, including due to rising interest rates, fluctuations in foreign currency exchange rates or other changes in economic conditions, our ability to raise additional capital may be negatively impacted. Our failure to raise capital in the future would have a negative impact on our ability to expand our existing manufacturing facilities for additional production lines or improve the production line capability, which would in turn negatively impact our ability to pursue our business strategies. The amount of capital that we will be required to raise, and our ability to raise substantial additional capital, will depend on many factors, including, but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and the cost to develop our new and complex manufacturing process that will produce lithium-ion batteries in a cost-effective manner;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continue to scale our Malaysia manufacturing facility in a timely and cost-effective manner;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locate and acquire new, larger manufacturing facilities on commercially reasonable terms;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build out our new, larger manufacturing facilities in a cost-effective manner;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cost of preparing to manufacture lithium-ion batteries on a larger scale;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costs of commercialization activities including product sales, marketing, manufacturing and distribution;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hire additional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demand for our lithium-ion batteries and the prices for which we will be able to sell our lithium-ion batteries, including as may be affected by the recent imposition of new and increased tariffs and global trade disruptions;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emergence of competing technologies or other adverse market developments;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volatility in the equity markets, including as a result of global trade disruptions, the imposition of new and increased tariffs, rising interest rates, inflation or war or other armed conflict.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long-term financial model assumptions include both expanding on our own and by partnering with other battery companies. Should we not be able to achieve these partnering goals, we would have to expand purely on our own. This would require additional capital and could impact how fast we can ramp revenue and achieve profitability. It could also impact our ability to service some customers that require second sources for supply. Additionally, if we can achieve these partnerships but not on the financial terms we are assuming, it could impact our financial performance.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we cannot guarantee that our business will generate sufficient cash flow from operations to fund our capital expenditures or other liquidity needs. Over time, we expect that we will need to raise additional funds through the issuance of equity, equity-related or debt securities or through obtaining credit from financial institutions to fund, together with our principal sources of liquidity, ongoing costs such as research and development relating to our batteries, any significant unplanned or accelerated expenses and new strategic investments.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elsewhere in these risk factors and in the Condensed Consolidated Financial Statements in this Quarterly Report on Form 10-Q, we are not profitable and have incurred losses in each year since our inception. We anticipate these losses will continue and likely increase as we continue our manufacturing scale up, add additional manufacturing capacity, continue commercialization and continue to operate as a public company and comply with legal, accounting and other regulatory requirements. We cannot be certain that additional capital will be available on attractive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8285"/>
                <wp:effectExtent l="0" t="0" r="0" b="0"/>
                <wp:wrapNone/>
                <wp:docPr id="53" name="Frame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terms, if at all, when needed, which could be dilutive to stockholders, and our financial condition, results of operations, business and prospects could be materially and adversely affected.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Raising additional funds may cause dilution to existing stockholders and/or may restrict our operations or require us to relinquish proprietary rights.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raise additional capital by issuing equity or convertible debt securities, our existing stockholders may experience substantial dilution, and the terms of these issued securities may include liquidation or other preferences that adversely affect the rights of our existing common stockholders. We may issue debt or equity securities under our shelf registration statement filed with the SEC in August 2023, including in an at-the-market (“ATM”) offering under our ATM facility, or we may issue debt or equity securities in private transactions. For example, during the third quarter of 2025, we declared and issued a special dividend in the form of publicly-traded common stock warrants (the “Warrants”), which were distributed on or about July 21, 2025 (the “Warrant Dividend”) and raised gross proceeds of $232.1 million from the exercise of Warrants, and we issued 26,526,344 shares of our common stock in connection with the exercise of the Warrants. We also issued $360.0 million of our 2030 Convertible Senior Notes in September 2025, which are convertible into shares of our common stock (see Note 6 “Borrowings” of our Condensed Consolidated Financial Statements in this Quarterly Report on Form 10-Q for further details).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agreements for future debt or preferred equity financings, if available, may involve covenants limiting or restricting our ability to take specific actions, such as raising additional capital, incurring additional debt, making capital expenditures or declaring dividends. In addition, if we raise additional funds through collaborations, strategic alliances or marketing, distribution or licensing arrangements with third parties, we may be required to relinquish valuable rights to our technologies or future revenue streams. If we incur additional debt, the debt holders, together with holders of our outstanding Convertible Senior Notes, would have rights senior to holders of common stock to make claims on our assets, and the terms of any future debt could restrict our operations, including our ability to pay dividends on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Risks Related to Our Convertible Senior Notes</w:t>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Servicing our debt requires a significant amount of cash, and we may not have sufficient cash flow from our business to pay our substantial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of, to pay interest on or to refinance our indebtedness, including the Convertible Senior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The conditional conversion feature of the Convertible Senior Notes, if triggered, may adversely affect our financial condition and operating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the conditional conversion feature of the Convertible Senior Notes is triggered, holders of the Convertible Senior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Senior Notes as a current rather than long-term liability, which would result in a material reduction of our net working capital.</w:t>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Certain provisions in the indenture governing the Convertible Senior Notes may delay or prevent an otherwise beneficial takeover attempt of 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provisions in the indenture governing the Convertible Senior Notes may make it more difficult or expensive for a third party to acquire us. For example, the indenture governing the Convertible Senior Notes will require us to repurchase the Convertible Senior Notes for cash upon the occurrence of a fundamental change and, 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8285"/>
                <wp:effectExtent l="0" t="0" r="0" b="0"/>
                <wp:wrapNone/>
                <wp:docPr id="54" name="Frame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associated with these and other provisions of the indenture governing our Convertible Senior Notes may have the effect of delaying or preventing a takeover of us that would otherwise be beneficial to investors.</w:t>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Conversion of the Convertible Senior Notes may dilute the ownership interest of our stockholders or may otherwise depress the price of our common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of some or all of the Convertible Senior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The accounting method for the Convertible Senior Notes could adversely affect our reported financial condition and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accounting method for reflecting the Convertible Senior Notes, including our Affiliate Notes (each as defined in Note 6 “Borrowings” of our Condensed Consolidated Financial Statements in this Quarterly Report on Form 10-Q),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2020, the Financial Accounting Standards Board published Accounting Standards Update 2020-06 (“ASU 2020-06”), which simplified certain of the accounting standards that apply to convertible notes. ASU 2020-06 eliminated the cash conversion and beneficial conversion feature modes used to separately account for embedded conversion features as a component of equity. Instead, an entity would account for convertible debt or convertible preferred stock securities as a single unit of account, unless the conversion feature requires bifurcation and recognition as derivatives. Additionally, the guidance requires entities to use the “if-converted” method for all convertible instruments in the diluted earnings per share calculation and to include the effect of potential share settlement for instruments that may be settled in cash or shares. ASU 2020-06 became effective for us beginning on January 1, 2022.</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ASU 2020-06, we recorded the Convertible Senior Notes as a liability on our consolidated balance sheets, with the initial carrying amount equal to the principal amount of the Convertible Senior Notes, net of issuance costs. The issuance costs are treated as a debt discount for accounting purposes, which are amortized into interest expense over the term of the Convertible Senior Notes. As a result of this amortization, the interest expense that we recognize for the Convertible Senior Notes for accounting purposes is greater than the cash interest payments we will pay on the Convertible Senior Notes, which will result in lower reported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shares of common stock underlying the Convertible Senior Notes are reflected in our diluted earnings per share using the “if converted” method, if dilutive, in accordance with ASU 2020-06. Under that method, diluted earnings per share are generally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Convertible Senior Notes or Affiliate Notes, respectively, following the satisfaction of those conditions and could materially reduce our reported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8285"/>
                <wp:effectExtent l="0" t="0" r="0" b="0"/>
                <wp:wrapNone/>
                <wp:docPr id="55" name="Frame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The capped call transactions may affect the value of the Convertible Senior Notes and our common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Convertible Senior Notes and the exercise by the initial purchasers of their option to purchase additional Convertible Senior Notes, we entered into capped call transactions (the “Capped Call Transactions”) with certain of the initial purchasers or affiliates thereof and/or other financial institutions (the “Option Counterparties”). The Capped Call Transactions will cover, subject to customary adjustments, the number of shares of our common stock initially underlying the Convertible Senior Notes. The Capped Call Transactions are expected generally to reduce the potential dilution to our common stock upon any conversion of notes and/or offset any cash payments we are required to make in excess of the principal amount of converted notes, as the case may be, with such reduction and/or offset subject to a cap.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establishing their initial hedges of the Capped Call Transactions, the Option Counterparties or their respective affiliates likely entered into various derivative transactions with respect to our common stock and/or purchased shares of our common stock concurrently with or shortly after the pricing of the Convertible Senior Notes, including with, or from, as the case may be, certain investors in the Convertible Senior Notes.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Convertible Senior Notes (and are likely to do so on each exercise date of the Capped Call Transactions, or, to the extent we exercise the relevant election under the Capped Call Transactions, following any repurchase, redemption, or conversion of the Convertible Senior Notes).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make any prediction as to the direction or magnitude of any potential effect that the transactions described above may have on the price of the Convertible Senior Notes or the shares of our common stock. Any of these activities could adversely affect the value of the Convertible Senior Notes and our common stock.</w:t>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We are subject to counterparty risk with respect to the Capped Call Transactions.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 Counterparties are financial institutions, and we will be subject to the risk that any or all of them might default under the Capped Call Transactions. Our exposure to the credit risk of the Option Counterparties will not be secured by any collateral.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Risks Related to Our Intellectual Property</w:t>
      </w:r>
    </w:p>
    <w:p>
      <w:pPr>
        <w:pStyle w:val="TextBody"/>
        <w:bidi w:val="0"/>
        <w:spacing w:lineRule="auto" w:line="288" w:before="160" w:after="283"/>
        <w:jc w:val="both"/>
        <w:rPr/>
      </w:pPr>
      <w:r>
        <w:rPr>
          <w:rFonts w:ascii="Times New Roman;serif" w:hAnsi="Times New Roman;serif"/>
          <w:b/>
          <w:i/>
          <w:color w:val="231F20"/>
          <w:sz w:val="20"/>
        </w:rPr>
        <w:t>We rely heavily on our intellectual property portfolio. If we are unable to protect our intellectual property rights, our business and competitive position would be harmed.</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231F20"/>
          <w:sz w:val="20"/>
        </w:rPr>
        <w:t>We may not be able to prevent unauthorized use of our intellectual property, which could harm our business and competitive position. We rely upon a combination of the intellectual property protections afforded by patent, copyright, trademark and trade secret laws in the U.S.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or be able to design around our intellectual property. Monitoring unauthorized use of our intellectual property is difficult and costly, and the steps we have taken or will take to prevent misappropriation may not be sufficient. Any enforcement efforts we undertake, including litigation, could be time-consuming and expensive and could divert management’s attention, which could harm our business, results of operations and financial condition. Moreover, our intellectual property is stored on computer systems that could be penetrated by intruders and potentially misappropriated. There is no guarantee that our efforts to protect our computer systems will be effective. In addition, existing intellectual property laws and contractual remedies may afford less protection than needed to safeguard our intellectual property portfol</w:t>
      </w:r>
      <w:r>
        <w:rPr>
          <w:rFonts w:ascii="Times New Roman;serif" w:hAnsi="Times New Roman;serif"/>
          <w:b w:val="false"/>
          <w:color w:val="000000"/>
          <w:sz w:val="20"/>
        </w:rPr>
        <w:t xml:space="preserve">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8285"/>
                <wp:effectExtent l="0" t="0" r="0" b="0"/>
                <wp:wrapNone/>
                <wp:docPr id="56" name="Frame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Patent, copyright, trademark and trade secret laws vary significantly throughout the world. A number of foreign countries do not protect intellectual property rights to the same extent as do U.S. laws. Therefore, our intellectual property rights may not be as strong or as easily enforced outside the U.S., and efforts to protect against the unauthorized use of our intellectual property rights, technology and other proprietary rights may be more expensive and difficult outside the U.S. Further, we have not established our intellectual property rights in all countries in the world, and competitors may copy our designs and technology and operate in countries in which we have not prosecuted our intellectual property. Failure to adequately protect our intellectual property rights could result in our competitors using our intellectual property to offer products, and competitors’ ability to design around our intellectual property would enable competitors to offer similar or better batteries, in each case potentially resulting in the loss of some of our competitive advantage and a decrease in our revenue, which would adversely affect our business, prospects, financial condition and operating results.</w:t>
      </w:r>
    </w:p>
    <w:p>
      <w:pPr>
        <w:pStyle w:val="TextBody"/>
        <w:bidi w:val="0"/>
        <w:spacing w:lineRule="auto" w:line="288" w:before="160" w:after="283"/>
        <w:jc w:val="both"/>
        <w:rPr/>
      </w:pPr>
      <w:r>
        <w:rPr>
          <w:rFonts w:ascii="Times New Roman;serif" w:hAnsi="Times New Roman;serif"/>
          <w:b/>
          <w:i/>
          <w:color w:val="000000"/>
          <w:sz w:val="20"/>
        </w:rPr>
        <w:t>We may need to defend ourselves against intellectual property infringement claims, which may be time-consuming and could cause us to incur substantial costs.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Companies, organizations or individuals, including our current and future competitors, may hold or obtain patents, trademarks or other proprietary rights that would prevent, limit or interfere with our ability to make, use, develop or sell our products, which could make it more difficult for us to operate our business. From time to time, we may receive inquiries from holders of patents or trademarks inquiring whether we are infringing their proprietary rights and/or seek court declarations that they do not infringe upon our intellectual property rights. Companies holding patents or other intellectual property rights relating to batteries, electric motors or electronic power management systems may bring suits alleging infringement of such rights or otherwise asserting their rights and seeking licenses. In addition, if we are determined to have infringed upon a third party’s intellectual property rights, we may be required to do one or more of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cease selling, incorporating or using products that incorporate the challenged intellectual property;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pay substantial damages;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obtain a license from the holder of the infringed intellectual property right, which license may not be available on reasonable terms or at all;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redesign our batteries.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a successful claim of infringement against us and our failure or inability to obtain a license to the infringed technology, our business, prospects, operating results and financial condition could be materially adversely affected. In addition, any litigation or claims, whether or not valid, could result in substantial costs and diversion of resources and management’s attention.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license patents and other intellectual property from third parties, and we may face claims that our use of this intellectual property infringes the rights of others. In such cases, we may seek indemnification from our licensors under our license contracts with them. However, our rights to indemnification may be unavailable or insufficient to cover our costs and losses, depending on our use of the technology, whether we choose to retain control over conduct of the litigation and other factors. </w:t>
      </w:r>
    </w:p>
    <w:p>
      <w:pPr>
        <w:pStyle w:val="TextBody"/>
        <w:bidi w:val="0"/>
        <w:spacing w:lineRule="auto" w:line="288" w:before="160" w:after="283"/>
        <w:jc w:val="both"/>
        <w:rPr/>
      </w:pPr>
      <w:r>
        <w:rPr>
          <w:rFonts w:ascii="Times New Roman;serif" w:hAnsi="Times New Roman;serif"/>
          <w:b/>
          <w:i/>
          <w:color w:val="000000"/>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in the fields in which we have developed and are developing our technology. In addition to those who may claim priority, any of our existing or pending patents may also be challenged by others on the basis that they are otherwise invalid or unenforceable. Furthermore, patent applications filed in foreign countries are subject to laws, rules and procedures that differ from those in the U.S., and thus we cannot be certain that foreign patent applications related to issued U.S. patents will be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8285"/>
                <wp:effectExtent l="0" t="0" r="0" b="0"/>
                <wp:wrapNone/>
                <wp:docPr id="57" name="Frame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Even if our patent applications succeed and we are issued patents in accordance with them,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issued to us may be infringed upon or designed around by others, and others may obtain patents that we need to license or design around, either of which would increase costs and may adversely affect our business, prospects, financial condition and operating resu</w:t>
      </w:r>
      <w:r>
        <w:rPr>
          <w:rFonts w:ascii="Times New Roman;serif" w:hAnsi="Times New Roman;serif"/>
          <w:b w:val="false"/>
          <w:color w:val="231F20"/>
          <w:sz w:val="20"/>
        </w:rPr>
        <w:t>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Our Regulatory Compliance</w:t>
      </w:r>
    </w:p>
    <w:p>
      <w:pPr>
        <w:pStyle w:val="TextBody"/>
        <w:bidi w:val="0"/>
        <w:spacing w:lineRule="auto" w:line="288" w:before="160" w:after="283"/>
        <w:jc w:val="both"/>
        <w:rPr/>
      </w:pPr>
      <w:r>
        <w:rPr>
          <w:rFonts w:ascii="Times New Roman;serif" w:hAnsi="Times New Roman;serif"/>
          <w:b/>
          <w:i/>
          <w:color w:val="000000"/>
          <w:sz w:val="20"/>
        </w:rPr>
        <w:t>We may encounter regulatory approval difficulties which could delay our ability to launch our lithium-ion battery cells, and compliance with regulatory laws may limit their usefulness.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delay in the development and manufacturing scale-up of our lithium-ion battery cells would negatively impact our business as it will delay time to revenue and negatively impact our customer relationships. For example, although we plan to successfully pass all required regulatory abuse testing, because our design is new and has very high energy density, there may be unanticipated failure modes that occur in the field which could delay or prevent us from launching our batteries. Further, there are current limits on the amount of energy that can be transported using different delivery methods, particularly air travel. These limits on battery transportation have historically been based on the energy of batteries currently on the market. If battery transportation regulations remain static or the energy capacity of new batteries is deemed unsafe at certain levels, our transportation options may be limited, which could increase the costs and duration of shipping of our finished product and reduce customer use of our batteries in certain locations. This could increase our inventory costs and limit sales of our batteries in some markets.</w:t>
      </w:r>
    </w:p>
    <w:p>
      <w:pPr>
        <w:pStyle w:val="TextBody"/>
        <w:bidi w:val="0"/>
        <w:spacing w:lineRule="auto" w:line="288" w:before="160" w:after="283"/>
        <w:jc w:val="both"/>
        <w:rPr/>
      </w:pPr>
      <w:r>
        <w:rPr>
          <w:rFonts w:ascii="Times New Roman;serif" w:hAnsi="Times New Roman;serif"/>
          <w:b/>
          <w:i/>
          <w:color w:val="000000"/>
          <w:sz w:val="20"/>
        </w:rPr>
        <w:t>We are subject to substantial regulation, and unfavorable changes to, or our failure to comply with, these regulations could substantially harm our business and operating results.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batteries are subject to substantial regulation under international, federal, state and local laws, including export control laws. We expect to incur significant costs in complying with these regulations. Regulations related to the battery and alternative energy are currently evolving, and we face risks associated with changes to these regulations.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the laws change, our products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Internationally, there may be laws in jurisdictions we have not yet entered or laws we are unaware of in jurisdictions we have entered that may restrict our sales or other business practices. The laws in this area can be complex, difficult to interpret and may change over time. Continued regulatory limitations and other obstacles that may interfere with our ability to commercialize our products could have a negative and material impact on our business, prospects, financial condition and results of operations.</w:t>
      </w:r>
    </w:p>
    <w:p>
      <w:pPr>
        <w:pStyle w:val="TextBody"/>
        <w:bidi w:val="0"/>
        <w:spacing w:lineRule="auto" w:line="288" w:before="160" w:after="283"/>
        <w:jc w:val="both"/>
        <w:rPr/>
      </w:pPr>
      <w:r>
        <w:rPr>
          <w:rFonts w:ascii="Times New Roman;serif" w:hAnsi="Times New Roman;serif"/>
          <w:b/>
          <w:i/>
          <w:color w:val="000000"/>
          <w:sz w:val="20"/>
        </w:rPr>
        <w:t>We are subject to a variety of laws and regulations related to the safety and transportation of our batteries. Our failure to comply with these laws and regulations may have a material adverse effect on our business and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federal, state and local authorities require certification by Underwriters Laboratory, Inc., an independent, not-for-profit corporation engaged in the testing of products for compliance with certain public safety standards, or other safety regulation certification prior to marketing battery cells. Foreign jurisdictions also have regulatory authorities overseeing the safety of consumer products. Our products may not meet the specifications required by these authorities. A determination that any of our products are not in compliance with these rules and regulations could result in the imposition of fines or an award of damages to private litigants.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lithium batteries have been identified as a Class 9 dangerous good during transport. To be safely transported (by air, sea, rail or roadways), they must meet various international, national, state and local authorities, including, for example, the provisions laid out in United Nations standard UN 38.3. This standard applies to batteries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8285"/>
                <wp:effectExtent l="0" t="0" r="0" b="0"/>
                <wp:wrapNone/>
                <wp:docPr id="58" name="Frame5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transported either on their own or installed in a device. UN 38.3 has been adopted by regulators and competent authorities around the world, thus making it a requirement for global market access. Any failure to fully comply with such international or other transportation safety standards could subject us to increased costs or future liabilities.</w:t>
      </w:r>
    </w:p>
    <w:p>
      <w:pPr>
        <w:pStyle w:val="TextBody"/>
        <w:bidi w:val="0"/>
        <w:spacing w:lineRule="auto" w:line="288" w:before="160" w:after="283"/>
        <w:jc w:val="both"/>
        <w:rPr/>
      </w:pPr>
      <w:r>
        <w:rPr>
          <w:rFonts w:ascii="Times New Roman;serif" w:hAnsi="Times New Roman;serif"/>
          <w:b/>
          <w:i/>
          <w:color w:val="000000"/>
          <w:sz w:val="20"/>
        </w:rPr>
        <w:t>We are subject to requirements relating to environmental and safety regulations and environmental remediation matters which could adversely affect our business, results of operations and reputation.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the company brand, finances or ability to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expended significant resources as a public company to comply with Section 404(a) of the Sarbanes-Oxley Act of 2002, which compliance costs may increase as our operations expand. Any failure to maintain effective controls and procedures could negatively impact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Section 404 of the Sarbanes-Oxley Act of 2002. The standards required for a public company under Section 404(a) of the Sarbanes-Oxley Act of 2002 are significantly more stringent than those that were required of us as a privately held company. Management may not be able to maintain effective controls and procedures that adequately respond to these increased regulatory compliance and reporting requirements. Further, we need to incorporate any future acquisitions into our existing system of internal controls and procedures, which will further increase our compliance costs, may require additional staff, and will likely divert the attention of management in the transition and integration period. If we are not able to maintain the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are required, pursuant to Section 404 of the Sarbanes-Oxley Act of 2002,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As we continue to expand our operations, including into international locations, we use a combination of our in-house Internal Audit team and third party service providers to assess and improve effectiveness of our internal controls over financial reporting, and we will likely expend more resources to hire additional accounting and finance staff with appropriate public company experience, technical accounting knowledge, and local knowledge, to update and refine the process documentation and internal controls for Section 404 compliance at each of our operational locatio</w:t>
      </w:r>
      <w:r>
        <w:rPr>
          <w:rFonts w:ascii="Times New Roman;serif" w:hAnsi="Times New Roman;serif"/>
          <w:b w:val="false"/>
          <w:color w:val="231F20"/>
          <w:sz w:val="20"/>
        </w:rPr>
        <w:t>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Risks Related to Ownership of Our Securities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trading price of our common stock may be volatile, and the value of our common stock may decline.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our stock price has been volatile and the trading price of our securities could continue to be volatile. The trading price of our common stock is subject to wide fluctuations in response to various factors, many of which are beyond our control. Any of the factors listed below could have a material adverse effect on your investment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8285"/>
                <wp:effectExtent l="0" t="0" r="0" b="0"/>
                <wp:wrapNone/>
                <wp:docPr id="59" name="Frame5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and our securities may trade at prices significantly below the price you paid. In such circumstances, the trading price of our securities may not recover and may experience a further decline.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Factors affecting the trading price of our securities: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market perception and speculation regarding announcements of new product or customer agreements;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success of competitors;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operating results failing to meet the expectation of securities analysts or investors in a particular period;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financial estimates and recommendations by securities analysts concerning us or the market in general;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develop product candidates;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volume of shares of our securities available for public sale;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sales of securities convertible into shares of our capital stock by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sales of substantial amounts of common stock by our directors, executive officers or significant stockholders or the perception that such sales could occur;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general economic and political conditions such as recessions, interest rates, fuel prices, international currency fluctuations and acts of war or other armed conflict or terrorism.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Broad market and industry factors may materially harm the market price of our securities irrespective of our operating performance. The stock market in general and the Nasdaq Global Select Market in particular have experienced price and volume fluctuations that have often been unrelated or disproportionate to the operating performance of the particular companies affected. The trading prices and valuations of these stocks, and of our securities, are not predictable. A loss of investor confidence in the market for battery company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short sellers may engage in manipulative activity intended to drive down the market price of target company stock. We have in the past been the subject of a short seller report containing certain allegations against us. While we reviewed the allegations in such report and believe them to be unsubstantiated, we may in the future become subject to additional unfavorable reports, which may cause us to expend a significant number of resources to investigate such allegations and may lead to increased volatility in the price of our common stock.</w:t>
      </w:r>
    </w:p>
    <w:p>
      <w:pPr>
        <w:pStyle w:val="TextBody"/>
        <w:bidi w:val="0"/>
        <w:spacing w:lineRule="auto" w:line="288" w:before="160" w:after="283"/>
        <w:jc w:val="both"/>
        <w:rPr/>
      </w:pPr>
      <w:r>
        <w:rPr>
          <w:rFonts w:ascii="Times New Roman;serif" w:hAnsi="Times New Roman;serif"/>
          <w:b/>
          <w:i/>
          <w:color w:val="000000"/>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8285"/>
                <wp:effectExtent l="0" t="0" r="0" b="0"/>
                <wp:wrapNone/>
                <wp:docPr id="60" name="Frame6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competitors, the price of our securities would likely decline. If any analyst who currently covers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future sales of shares by existing stockholders may adversely affect the market price of our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We have a total of 219,448,535 shares of common stock outstanding as of August 7, 2026. All of our outstanding shares are eligible for sale in the public market, other than shares and options held by directors, executive officers, and other affiliates that are subject to volume limitations under Rule 144 of the Securities Act, various vesting agreements, and restrictive legends that limit sales other than under an effective registration statement.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the applicable provisions of our insider trading policy.</w:t>
      </w:r>
    </w:p>
    <w:p>
      <w:pPr>
        <w:pStyle w:val="TextBody"/>
        <w:bidi w:val="0"/>
        <w:spacing w:lineRule="auto" w:line="288" w:before="160" w:after="283"/>
        <w:jc w:val="both"/>
        <w:rPr/>
      </w:pPr>
      <w:r>
        <w:rPr>
          <w:rFonts w:ascii="Times New Roman;serif" w:hAnsi="Times New Roman;serif"/>
          <w:b/>
          <w:i/>
          <w:color w:val="000000"/>
          <w:sz w:val="20"/>
        </w:rPr>
        <w:t>An active trading market for our securities may not continue, which would adversely affect the liquidity and price of our securities.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for any reason become delisted from, the Nasdaq Global Select Market and are quoted on the OTC Bulletin Board, an inter-dealer automated quotation system for equity securities that is not a national securities exchange, the liquidity and price of our securities will be adversely affected. You may be unable to sell your securities if an active trading market for our securities cannot be sustained and/or the securities are no longer listed on the Nasdaq Global Select Market or other national securities exchange.</w:t>
      </w:r>
    </w:p>
    <w:p>
      <w:pPr>
        <w:pStyle w:val="TextBody"/>
        <w:bidi w:val="0"/>
        <w:spacing w:lineRule="auto" w:line="288" w:before="160" w:after="283"/>
        <w:jc w:val="both"/>
        <w:rPr/>
      </w:pPr>
      <w:r>
        <w:rPr>
          <w:rFonts w:ascii="Times New Roman;serif" w:hAnsi="Times New Roman;serif"/>
          <w:b/>
          <w:i/>
          <w:color w:val="000000"/>
          <w:sz w:val="20"/>
        </w:rPr>
        <w:t>There can be no assurance that we will be able to comply with the continued listing standards of the Nasdaq Global Select Market.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Nasdaq Global Select Market delists our securities from trading on its exchange for failure to meet the listing standards, we and our stockholders could face significant material adverse consequences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limited availability of market quotations for our securities;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limited amount of analyst coverage;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 decreased ability to issue additional securities or obtain additional financing in the future. </w:t>
      </w:r>
    </w:p>
    <w:p>
      <w:pPr>
        <w:pStyle w:val="TextBody"/>
        <w:bidi w:val="0"/>
        <w:spacing w:lineRule="auto" w:line="288" w:before="160" w:after="283"/>
        <w:jc w:val="both"/>
        <w:rPr/>
      </w:pPr>
      <w:r>
        <w:rPr>
          <w:rFonts w:ascii="Times New Roman;serif" w:hAnsi="Times New Roman;serif"/>
          <w:b/>
          <w:i/>
          <w:color w:val="000000"/>
          <w:sz w:val="20"/>
        </w:rPr>
        <w:t>Our amended and restated certificate of incorporation provides that the Court of Chancery of the State of Delaware and U.S. federal district courts will be the exclusive forums for certain disputes between us and our stockholders, which could limit our stockholders’ ability to choose the judicial forum for disputes with us or our directors, officers or employees.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action asserting a claim of breach of fiduciary duty owed by any of our current or former directors, officers or other employees to us 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8285"/>
                <wp:effectExtent l="0" t="0" r="0" b="0"/>
                <wp:wrapNone/>
                <wp:docPr id="61" name="Frame6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action asserting a claim against us by any of our current or former directors, officers or other employees to us or our stockholders arising under the Delaware General Corporation Law, our amended and restated certificate of incorporation or our amended and restated bylaws;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action or proceeding to interpret, apply, enforce or determine the validity of the amended and restated certificate of incorporation or the amended or restated bylaws (including any right, obligation or remedy thereunder);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action or proceeding as to which the General Corporation Law of the State of Delaware confers jurisdiction to the Court of Chancery of the State of Delaware;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any action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exclusive-forum provision would not apply to suits brought to enforce a duty or liability created by the Securities Exchange Act of 1934, as amended (the “Exchange Act”) or any other claim for which the federal courts have exclusive jurisdiction, or the Securities Act of 1933, as amended (the “Securities Act”). In addition, to prevent having to litigate claims in multiple jurisdictions and the threat of inconsistent or contrary rulings by different courts, among other considerations, our amended and restated certificate of incorporation provides that, unless we consent in writing to the selection of an alternative forum, to the fullest extent permitted by law, U.S. federal district courts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amended and restated certificate of incorporation provides that U.S. federal district courts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forum provision. Our amended and restated certificate of incorporation further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These exclusive-forum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or our directors, officers or other employees in a venue other than in U.S. federal district courts.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w:t>
      </w:r>
      <w:r>
        <w:rPr>
          <w:rFonts w:ascii="Times New Roman;serif" w:hAnsi="Times New Roman;serif"/>
          <w:b w:val="false"/>
          <w:color w:val="231F20"/>
          <w:sz w:val="20"/>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231F20"/>
          <w:sz w:val="20"/>
        </w:rPr>
      </w:pPr>
      <w:r>
        <w:rPr>
          <w:rFonts w:ascii="Times New Roman;serif" w:hAnsi="Times New Roman;serif"/>
          <w:b/>
          <w:color w:val="231F20"/>
          <w:sz w:val="20"/>
        </w:rPr>
        <w:t>General Risk Factors</w:t>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Global conflicts could adversely impact our business, costs, supply chain, sales, financial condition or results of operations.</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Recent global conflicts, such as the conflicts in the Middle East and Russia’s invasion of Ukraine, have led the U.S. and certain other countries to impose significant sanctions and trade actions and have slowed down shipping options. The U.S. and other countries could impose further sanctions, trade restrictions and other retaliatory actions, and affect shipment of products. It is not possible to predict the broader consequences of the conflicts, including related geopolitical tensions, and the measures and retaliatory actions taken by the U.S. and other countries in respect thereof, as well as any counter measures or retaliatory actions taken in response, have caused and are likely to continue to cause regional instability and geopolitical shifts. Further, such conflicts have in the past, and will likely continue to, materially adversely affected global trade, currency exchange rates, regional economies and the global economy. While it is difficult to anticipate the impact of any of the foregoing on the Company, such conflicts, and any similar future conflicts, including as a result of rising tensions between China and Taiwan, and actions taken in response to any conflict,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8285"/>
                <wp:effectExtent l="0" t="0" r="0" b="0"/>
                <wp:wrapNone/>
                <wp:docPr id="62" name="Frame6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231F20"/>
          <w:sz w:val="20"/>
        </w:rPr>
      </w:pPr>
      <w:r>
        <w:rPr>
          <w:rFonts w:ascii="Times New Roman;serif" w:hAnsi="Times New Roman;serif"/>
          <w:b w:val="false"/>
          <w:color w:val="231F20"/>
          <w:sz w:val="20"/>
        </w:rPr>
        <w:t>increase our costs, disrupt our supply chain, reduce our sales and earnings, impair our ability to raise additional capital when needed on acceptable terms, if at all, or otherwise adversely affect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If our batteries, our website, systems or data we maintain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and sensitive third-party data.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attacks facilitated or enhanced by artificial intelligence, loss of data or other information technology assets, adware, telecommunications failures, earthquakes, fires, floods, and other similar threats. In particular, severe ransomware attacks are becoming increasingly prevalent – particularly for companies like ours that are engaged in manufacturing –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any acquired companies into our information technology environment and security program.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For example, the Crowdstrike-Microsoft outage in July 2024 caused temporary disruptions to our systems and servers at our U.S., Malaysia and India locations. While we may be entitled to damages if our third-party service providers fail to satisfy their privacy or security-related obligations to us, or we may be entitled to reimbursement under our insurance policies, any award may be insufficient to cover our damages, or we may be unable to recover such award.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8285"/>
                <wp:effectExtent l="0" t="0" r="0" b="0"/>
                <wp:wrapNone/>
                <wp:docPr id="63" name="Frame6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upon whom we rely. A security incident or other interruption could disrupt our ability (and that of third parties upon whom we rely) to provide our products. 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but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Vulnerabilities could be exploited and result in a security incident.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to notify relevant stakeholders, including affected individuals, customers, regulators, and investors, of security incidents. For example, new SEC rules require disclosure on Form 8-K of the nature, scope and timing of any material cybersecurity incident and the reasonably likely impact of such incident.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sensitive information of the Company or our customers could be leaked, disclosed, or revealed as a result of or in connection with the use by our employees, personnel, or vendors of generative artificial intelligence (“AI”) technologies.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are subject to stringent and evolving U.S. and foreign laws and other obligations related to data privacy and security. Our actual or perceived failure to comply with such obligations could harm our reputation and expose us to increased liability and other adverse business consequences.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store, use, transfer and share (collectively, “process”) personal data and other sensitive information. Our data processing activities may subject us to various laws and contractual requirements. A number of U.S. states have enacted comprehensive privacy laws that impose certain obligations on covered businesses. For example, the California Consumer Privacy Act of 2018, as amended by the California Privacy Rights Act of 2020 (collectively, “CCPA”) applies to personal data of California residents and requires businesses to provide specific disclosures in privacy notices and honor requests of such individuals to exercise certain privacy rights.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U.S., the U.K. and EU General Data Protection Regulation (“GDPR”) applies to some of our operations in Europe. Our data processing activities in Asia are subject to new and emerging data privacy regimes, including China’s Personal Information Protection Law 2021 (“PIPL”) and in India’s Digital Personal Data Protection Act (“DPDPA”).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are instructed by Enovix IT not to use unauthorized generative AI and machine learning (“ML”) technologies to perform their work. However, employees’ indirect use of generative AI in unapproved third-party software and services may still occur, risking the inadvertent disclosure of personal data and sensitive company information to third parties. Governments have passed, and are likely to continue to enact additional laws regulating generative AI, our use of this technology could result in additional compliance costs, regulatory investigations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8285"/>
                <wp:effectExtent l="0" t="0" r="0" b="0"/>
                <wp:wrapNone/>
                <wp:docPr id="64" name="Frame6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actions, and lawsuits. If we are unable to use generative AI, it could make our business less efficient and result in competitive disadvantages.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are quickly changing, becoming increasingly stringent, and creating regulatory uncertainty. Preparing for and complying with these obligations requires us to devote significant resources, which may necessitate changes to our services, information technologies, systems, and practices, and to those of any third parties that process personal data on our behalf. If we or the third parties on which we rely fail, or are perceived to have failed, to address or comply with applicable data privacy and security obligations, we could face significant consequences, including government enforcement investigations, fines, penalties, audits, and inspections, additional reporting requirements, and litigation. Any of these events could have a material adverse effect on our reputation, business, or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are exposed to risks related to the use of AI by us and others in our industry.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working to incorporate AI and GenAI tools into various aspects of our business operations, including research and development, battery design, manufacturing optimization and other testing applications. AI-based technologies are complex, rapidly evolving and may not produce the intended benefits. Algorithms, models or training data may be flawed, biased or incomplete, which could result in inaccurate analyses or design decisions. If AI-assisted outputs are relied upon in product development, performance modeling, safety analysis or manufacturing processes and prove to be incorrect, our product performance, reliability, safety profile or regulatory compliance could be adversely affected, potentially resulting in delays, increased costs, product liability exposure or reputational harm.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AI may also increase the risk of intellectual property infringement, trade secret exposure or unauthorized disclosure of confidential information, including proprietary battery designs and manufacturing processes. In addition, our suppliers, partners or competitors may more effectively leverage AI technologies, which could impair our competitive position. The evolving regulatory landscape governing AI may impose additional compliance obligations or restrict our ability to deploy AI tools. Any of these risks could adversely affect our business,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Our facilities or operations could be damaged or adversely affected as a result of natural disasters and other catastrophic events.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facilities or operations could be adversely affected by events outside of our control, such as natural disasters, wars or other armed conflicts, health epidemics, pandemics and other outbreaks, the long-term effects of climate change and other calamities. Our headquarters is located in Fremont, California, which is prone to earthquakes.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Any financial or economic crisis, or perceived threat of such a crisis, including a significant decrease in consumer confidence, may materially and adversely affect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or economic crisis, inflation and other macroeconomic pressures in the U.S. and global economy, such as rising interest rates and recession fears, can create a complex and challenging environment for us and our customers. In particular, our operations could be adversely impacted by inflation due to higher material, labor, and construction costs. Even in instances where the U.S. and foreign governments may take actions intended to address and rectify extreme market and economic conditions, such as by providing liquidity and stability to the financial markets, these actions may not be successful.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Extended periods of high inflation or adverse economic conditions may negatively impact the demand for our lithium-ion battery cells and may negatively impact our ability to raise capital, if needed, on a timely basis and on acceptable terms or at all. Further, if we are not able to fully offset higher costs from inflation through price increases or other corrective measures, this may adversely affect our business, financial condition and results of operations</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8285"/>
                <wp:effectExtent l="0" t="0" r="0" b="0"/>
                <wp:wrapNone/>
                <wp:docPr id="65" name="Frame6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 xml:space="preserve">Our ability to utilize our net operating losses and certain other tax attributes to offset future taxable income and taxes may be subject to certain limitations. </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Under the Internal Revenue Code of 1986, as amended, (the “Code”), a corporation is generally allowed a deduction for net operating losses (“NOLs”) carried over from a prior taxable year. Under the Code, we can carryforward our NOLs to offset our future taxable income, if any, until such NOLs are used or expire. The same is true of other unused tax attributes, such as tax credits. Under current U.S. federal income tax law, U.S. federal NOLs generated in taxable years beginning after December 31, 2017, may be carried forward indefinitely, but the deductibility of such U.S. federal NOLs is limited to 80 percent of taxable income. Many U.S. states do not conform to current U.S. federal income tax law regarding NOLs carried forward and deductibility, and generally have more restrictive rules which limit the use of NOLs for state income tax purposes. In addition, there may be periods during which states suspend or otherwise limit the use of NOLs for state income tax purposes.</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addition, under Sections 382 and 383 of the Code and corresponding provisions under state law, a corporation that undergoes an “ownership change” is subject to limitations on its ability to use its pre-change NOL carryforwards and other pre-change tax attributes to offset future taxable income and taxes. The limitations apply if a corporation undergoes an “ownership change,” which is generally defined as a greater than 50 percentage point change (by value) in its equity ownership by certain stockholders over a three-year period. We have experienced ownership changes and are subject to limitations on our ability to utilize a portion of our NOLs and other tax attributes to offset taxable income or tax liability. In addition, future changes in our stock ownership, which may be outside of our control, may trigger additional ownership changes and further limitations. Similar provisions of state tax law may also apply to suspend or otherwise limit our use of accumulated state tax attributes. As a result, even if we earn net taxable income in the future, our ability to use our or Legacy Enovix’s NOL carryforwards and other tax attributes to offset such taxable income or tax liability may be subject to limitations, which could potentially result in increased future income tax liability to us.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New or amended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One Big Beautiful Bill Act (OBBBA) enacted in July 2025 introduced significant changes to the federal tax code, such as restoring immediate expensing for domestic research and experimental expenses instead of capitalization and amortization over five years. Further guidance from the Internal Revenue Service and other tax authorities with respect to such legislation may affect us, and certain aspects of such legislation could be repealed or modified in future legislation. In addition, it is uncertain if and to what extent various states will conform to federal tax laws. Future tax reform legislation could have a material impact on the value of our deferred tax assets and could increase our future U.S.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231F20"/>
          <w:sz w:val="20"/>
        </w:rPr>
      </w:pPr>
      <w:r>
        <w:rPr>
          <w:rFonts w:ascii="Times New Roman;serif" w:hAnsi="Times New Roman;serif"/>
          <w:b/>
          <w:i/>
          <w:color w:val="231F20"/>
          <w:sz w:val="20"/>
        </w:rPr>
        <w:t>We are subject to anti-corruption, anti-bribery, anti-money laundering, import and export controls,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are subject to anti-corruption, anti-bribery, anti-money laundering, import and export controls, financial and economic sanctions and similar laws and regulations in various jurisdictions in which we conduct or in the future may conduct activities, including the U.S. Foreign Corrupt Practices Act (“FCPA”), the U.K. Bribery Act 2010 and other anti-corruption laws and regulations. The FCPA and the U.K. Bribery Act 2010 prohibit us and our officers, directors, employees and business partners acting on our behalf, including agents, from directly or indirectly corruptly offering, promising, authorizing or providing anything of value to foreign government officials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also prohibits non-governmental “commercial” bribery and soliciting or accepting bribes. A violation of anti-corruption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8285"/>
                <wp:effectExtent l="0" t="0" r="0" b="0"/>
                <wp:wrapNone/>
                <wp:docPr id="66" name="Frame6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We are also subject to import and export control laws and regulations, including the U.S. Export Administration Regulations, U.S. Customs regulations, and various economic and trade sanctions regulations administered by the U.S. Treasury Department’s Office of Foreign Assets Control, and similar laws in other jurisdictions in which we conduct business. Exports of our products must be made in compliance with these laws and regulations. In addition, these laws may restrict or prohibit altogether the provision or supply of certain of our products to certain governments, persons, entities, countries, and territories, including those that are the target of comprehensive sanctions, unless there are license exceptions that apply or specific licenses are obtained. Any changes in import, export control, or sanctions laws and regulations, shift in the enforcement or scope of existing laws and regulations, or change in the countries, governments, persons, or technologies targeted by such laws and regulations, could result in decreased ability to export our products internationally. </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Significant increases in import and excise duties or other taxes on, as well as any tariffs, particularly on our products to China, could materially increase our costs of our products and have an adverse effect on our business, liquidity, financial condition, and/or results of operations.</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 xml:space="preserve">Non-compliance with anti-corruption, anti-bribery, anti-money laundering, import and export control,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w:t>
      </w:r>
    </w:p>
    <w:p>
      <w:pPr>
        <w:pStyle w:val="TextBody"/>
        <w:bidi w:val="0"/>
        <w:spacing w:lineRule="auto" w:line="288" w:before="160" w:after="283"/>
        <w:jc w:val="both"/>
        <w:rPr/>
      </w:pPr>
      <w:r>
        <w:rPr>
          <w:rFonts w:ascii="Times New Roman;serif" w:hAnsi="Times New Roman;serif"/>
          <w:b/>
          <w:i/>
          <w:color w:val="231F20"/>
          <w:sz w:val="20"/>
        </w:rPr>
        <w:t>Our insurance coverage may not be adequate to protect us from all business risks.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may be subject, in the ordinary course of business, to losses resulting from products liability, accidents, acts of God and other claims against us, for which we may have no insurance coverage. As a general matter, the policies that we do have may include significant deductibles or self-insured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color w:val="231F20"/>
          <w:sz w:val="20"/>
        </w:rPr>
      </w:pPr>
      <w:r>
        <w:rPr>
          <w:rFonts w:ascii="Times New Roman;serif" w:hAnsi="Times New Roman;serif"/>
          <w:b/>
          <w:color w:val="231F20"/>
          <w:sz w:val="20"/>
        </w:rPr>
        <w:t>Issuer Purchases of Equity Securities</w:t>
      </w:r>
    </w:p>
    <w:p>
      <w:pPr>
        <w:pStyle w:val="TextBody"/>
        <w:bidi w:val="0"/>
        <w:spacing w:lineRule="auto" w:line="288" w:before="160" w:after="283"/>
        <w:ind w:left="0" w:right="0" w:firstLine="360"/>
        <w:jc w:val="both"/>
        <w:rPr/>
      </w:pPr>
      <w:r>
        <w:rPr>
          <w:rFonts w:ascii="Times New Roman;serif" w:hAnsi="Times New Roman;serif"/>
          <w:b w:val="false"/>
          <w:color w:val="231F20"/>
          <w:sz w:val="20"/>
        </w:rPr>
        <w:t xml:space="preserve">The following table provides information about purchases we made during the quarter ended </w:t>
      </w:r>
      <w:r>
        <w:rPr>
          <w:rFonts w:ascii="Times New Roman;serif" w:hAnsi="Times New Roman;serif"/>
          <w:b w:val="false"/>
          <w:color w:val="000000"/>
          <w:sz w:val="20"/>
        </w:rPr>
        <w:t>July 5, 2026</w:t>
      </w:r>
      <w:r>
        <w:rPr>
          <w:color w:val="231F20"/>
        </w:rPr>
        <w:t xml:space="preserve"> </w:t>
      </w:r>
      <w:r>
        <w:rPr>
          <w:rFonts w:ascii="Times New Roman;serif" w:hAnsi="Times New Roman;serif"/>
          <w:b w:val="false"/>
          <w:color w:val="231F20"/>
          <w:sz w:val="20"/>
        </w:rPr>
        <w:t>of equity securities that are registered by us pursuant to Section 12 of the Exchange Act (in thousands, except per share data):</w:t>
      </w:r>
    </w:p>
    <w:tbl>
      <w:tblPr>
        <w:tblW w:w="10205" w:type="dxa"/>
        <w:jc w:val="left"/>
        <w:tblInd w:w="0" w:type="dxa"/>
        <w:tblLayout w:type="fixed"/>
        <w:tblCellMar>
          <w:top w:w="28" w:type="dxa"/>
          <w:left w:w="28" w:type="dxa"/>
          <w:bottom w:w="28" w:type="dxa"/>
          <w:right w:w="28" w:type="dxa"/>
        </w:tblCellMar>
      </w:tblPr>
      <w:tblGrid>
        <w:gridCol w:w="385"/>
        <w:gridCol w:w="337"/>
        <w:gridCol w:w="341"/>
        <w:gridCol w:w="109"/>
        <w:gridCol w:w="109"/>
        <w:gridCol w:w="109"/>
        <w:gridCol w:w="469"/>
        <w:gridCol w:w="469"/>
        <w:gridCol w:w="471"/>
        <w:gridCol w:w="109"/>
        <w:gridCol w:w="109"/>
        <w:gridCol w:w="109"/>
        <w:gridCol w:w="350"/>
        <w:gridCol w:w="674"/>
        <w:gridCol w:w="181"/>
        <w:gridCol w:w="109"/>
        <w:gridCol w:w="109"/>
        <w:gridCol w:w="109"/>
        <w:gridCol w:w="745"/>
        <w:gridCol w:w="745"/>
        <w:gridCol w:w="747"/>
        <w:gridCol w:w="109"/>
        <w:gridCol w:w="109"/>
        <w:gridCol w:w="109"/>
        <w:gridCol w:w="578"/>
        <w:gridCol w:w="1976"/>
        <w:gridCol w:w="429"/>
      </w:tblGrid>
      <w:tr>
        <w:trPr/>
        <w:tc>
          <w:tcPr>
            <w:tcW w:w="3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Approximate Dollar Value of Shares That May Yet be Purchased Under the Plans or Programs</w:t>
            </w:r>
          </w:p>
          <w:p>
            <w:pPr>
              <w:pStyle w:val="TableContents"/>
              <w:bidi w:val="0"/>
              <w:spacing w:lineRule="auto" w:line="240" w:before="0" w:after="0"/>
              <w:jc w:val="center"/>
              <w:rPr/>
            </w:pPr>
            <w:r>
              <w:rPr>
                <w:rFonts w:ascii="Times New Roman;serif" w:hAnsi="Times New Roman;serif"/>
                <w:b w:val="false"/>
                <w:color w:val="000000"/>
                <w:sz w:val="18"/>
              </w:rPr>
              <w:t>(in thousands)</w:t>
            </w:r>
            <w:r>
              <w:rPr>
                <w:color w:val="000000"/>
              </w:rPr>
              <w:t xml:space="preserve"> </w:t>
            </w:r>
            <w:r>
              <w:rPr>
                <w:rFonts w:ascii="Times New Roman;serif" w:hAnsi="Times New Roman;serif"/>
                <w:b w:val="false"/>
                <w:color w:val="000000"/>
                <w:sz w:val="10"/>
              </w:rPr>
              <w:t>(1) (2)</w:t>
            </w:r>
          </w:p>
        </w:tc>
      </w:tr>
      <w:tr>
        <w:trPr/>
        <w:tc>
          <w:tcPr>
            <w:tcW w:w="10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6 - May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76,615 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76,615 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July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In June 2025, our Board of Directors approved a stock repurchase plan authorizing up to $60.0 million in common stock repurchases (the “Repurchase Plan”). Prior to the adoption of the Repurchase Plan, we did not have a repurchase plan in place. During the third quarter of 2025, we repurchased 5,437,556 shares of our common stock for $58.4 million pursuant to the Repurchase Plan. The costs for these common stock repurchases are recorded in Treasury Stock, at Cost, on our Condensed Consolidated Balance Sheet.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In February 2026, our Board of Directors authorized the repurchase of up to $75.0 million worth of shares of the Company’s common stock, $0.0001 par value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8285"/>
                <wp:effectExtent l="0" t="0" r="0" b="0"/>
                <wp:wrapNone/>
                <wp:docPr id="67" name="Frame6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360" w:after="283"/>
        <w:jc w:val="both"/>
        <w:rPr>
          <w:rFonts w:ascii="Times New Roman;serif" w:hAnsi="Times New Roman;serif"/>
          <w:b/>
          <w:color w:val="212529"/>
          <w:sz w:val="20"/>
        </w:rPr>
      </w:pPr>
      <w:r>
        <w:rPr>
          <w:rFonts w:ascii="Times New Roman;serif" w:hAnsi="Times New Roman;serif"/>
          <w:b/>
          <w:color w:val="212529"/>
          <w:sz w:val="20"/>
        </w:rPr>
        <w:t>Insider Trading Arrangements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July 5, 2026, no directors or officers (as defined in Rule 16a-1(f) under the Exchange Act) adopted, modified or terminated a “Rule 10b5-1 trading arrangement” or “non-Rule 10b5-1 trading arrangement” as defined in Item 408(a) of Regulation S-K.</w:t>
      </w:r>
    </w:p>
    <w:p>
      <w:pPr>
        <w:pStyle w:val="TextBody"/>
        <w:bidi w:val="0"/>
        <w:spacing w:before="160" w:after="283"/>
        <w:ind w:left="0" w:right="0" w:firstLine="36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8285"/>
                <wp:effectExtent l="0" t="0" r="0" b="0"/>
                <wp:wrapNone/>
                <wp:docPr id="68" name="Frame6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documents listed in the Exhibit Index of this Quarterly Report on Form 10-Q are incorporated by reference or are filed or furnished with this Quarterly Report on Form 10-Q, in each case as indicated therein:</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255"/>
        <w:gridCol w:w="1109"/>
        <w:gridCol w:w="1120"/>
        <w:gridCol w:w="109"/>
        <w:gridCol w:w="109"/>
        <w:gridCol w:w="109"/>
        <w:gridCol w:w="275"/>
        <w:gridCol w:w="275"/>
        <w:gridCol w:w="276"/>
        <w:gridCol w:w="109"/>
        <w:gridCol w:w="109"/>
        <w:gridCol w:w="109"/>
        <w:gridCol w:w="236"/>
        <w:gridCol w:w="236"/>
        <w:gridCol w:w="200"/>
        <w:gridCol w:w="109"/>
        <w:gridCol w:w="109"/>
        <w:gridCol w:w="109"/>
        <w:gridCol w:w="210"/>
        <w:gridCol w:w="210"/>
        <w:gridCol w:w="211"/>
        <w:gridCol w:w="109"/>
        <w:gridCol w:w="109"/>
        <w:gridCol w:w="109"/>
        <w:gridCol w:w="445"/>
        <w:gridCol w:w="380"/>
        <w:gridCol w:w="221"/>
        <w:gridCol w:w="109"/>
        <w:gridCol w:w="109"/>
        <w:gridCol w:w="109"/>
        <w:gridCol w:w="255"/>
        <w:gridCol w:w="255"/>
        <w:gridCol w:w="36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14"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312" w:before="14"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Description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July 19,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July 19,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Indenture, dated as of April 20, 2023, by and between Enovix Corporation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Global Note, representing Enovix Corporation’s 3.00% Convertible Senior Notes due 2028 (included as Exhibit A to the Indenture filed as Exhibit 4.1)</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Indenture, dated as of September 15, 2025, by and between Enovix Corporation and U.S. Bank Trust Company,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Global Note, representing Enovix Corporation’s 4.75% Convertible Senior Notes due 2030 (included as Exhibit A to the Indenture filed as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val="false"/>
                <w:color w:val="000000"/>
                <w:sz w:val="20"/>
              </w:rPr>
            </w:pPr>
            <w:r>
              <w:rPr>
                <w:rFonts w:ascii="Times New Roman;serif" w:hAnsi="Times New Roman;serif"/>
                <w:b w:val="false"/>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nvx10q-q22026exx101.htm">
              <w:r>
                <w:rPr>
                  <w:rStyle w:val="InternetLink"/>
                  <w:rFonts w:ascii="Times New Roman;serif" w:hAnsi="Times New Roman;serif"/>
                  <w:b w:val="false"/>
                  <w:color w:val="000080"/>
                  <w:sz w:val="20"/>
                  <w:u w:val="single"/>
                </w:rPr>
                <w:t xml:space="preserve">Employment Agreement, dated July </w:t>
              </w:r>
            </w:hyperlink>
            <w:hyperlink w:anchor="envx10q-q22026exx101.htm">
              <w:r>
                <w:rPr>
                  <w:rStyle w:val="InternetLink"/>
                  <w:rFonts w:ascii="Times New Roman;serif" w:hAnsi="Times New Roman;serif"/>
                  <w:b w:val="false"/>
                  <w:color w:val="000080"/>
                  <w:sz w:val="20"/>
                  <w:u w:val="single"/>
                </w:rPr>
                <w:t>8</w:t>
              </w:r>
            </w:hyperlink>
            <w:hyperlink w:anchor="envx10q-q22026exx101.htm">
              <w:r>
                <w:rPr>
                  <w:rStyle w:val="InternetLink"/>
                  <w:rFonts w:ascii="Times New Roman;serif" w:hAnsi="Times New Roman;serif"/>
                  <w:b w:val="false"/>
                  <w:color w:val="000080"/>
                  <w:sz w:val="20"/>
                  <w:u w:val="single"/>
                </w:rPr>
                <w:t xml:space="preserve">, 2026 </w:t>
              </w:r>
            </w:hyperlink>
            <w:hyperlink w:anchor="envx10q-q22026exx101.htm">
              <w:r>
                <w:rPr>
                  <w:rStyle w:val="InternetLink"/>
                  <w:rFonts w:ascii="Times New Roman;serif" w:hAnsi="Times New Roman;serif"/>
                  <w:b w:val="false"/>
                  <w:color w:val="000080"/>
                  <w:sz w:val="20"/>
                  <w:u w:val="single"/>
                </w:rPr>
                <w:t>by and between Enovix Corporation and Michael Vyvoda.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nvx10q-q22026ex311.htm">
              <w:r>
                <w:rPr>
                  <w:rStyle w:val="InternetLink"/>
                  <w:rFonts w:ascii="Times New Roman;serif" w:hAnsi="Times New Roman;serif"/>
                  <w:b w:val="false"/>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nvx10q-q22026exx312.htm">
              <w:r>
                <w:rPr>
                  <w:rStyle w:val="InternetLink"/>
                  <w:rFonts w:ascii="Times New Roman;serif" w:hAnsi="Times New Roman;serif"/>
                  <w:b w:val="false"/>
                  <w:color w:val="000080"/>
                  <w:sz w:val="20"/>
                  <w:u w:val="single"/>
                </w:rPr>
                <w:t xml:space="preserve">Certification of Chief Financial Officer </w:t>
              </w:r>
            </w:hyperlink>
            <w:hyperlink w:anchor="envx10q-q22026exx312.htm">
              <w:r>
                <w:rPr>
                  <w:rStyle w:val="InternetLink"/>
                  <w:rFonts w:ascii="Times New Roman;serif" w:hAnsi="Times New Roman;serif"/>
                  <w:b w:val="false"/>
                  <w:color w:val="000080"/>
                  <w:sz w:val="20"/>
                  <w:u w:val="single"/>
                </w:rPr>
                <w:t>(Principal Financial and Accounting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nvx10q-q22026exx321.htm">
              <w:r>
                <w:rPr>
                  <w:rStyle w:val="InternetLink"/>
                  <w:rFonts w:ascii="Times New Roman;serif" w:hAnsi="Times New Roman;serif"/>
                  <w:b w:val="false"/>
                  <w:color w:val="0000FF"/>
                  <w:sz w:val="20"/>
                  <w:u w:val="single"/>
                </w:rPr>
                <w:t>Certification of Chief Executive Officer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nvx10q-q22026exx322.htm">
              <w:r>
                <w:rPr>
                  <w:rStyle w:val="InternetLink"/>
                  <w:rFonts w:ascii="Times New Roman;serif" w:hAnsi="Times New Roman;serif"/>
                  <w:b w:val="false"/>
                  <w:color w:val="000080"/>
                  <w:sz w:val="20"/>
                  <w:u w:val="single"/>
                </w:rPr>
                <w:t xml:space="preserve">Certification of Chief Financial Officer </w:t>
              </w:r>
            </w:hyperlink>
            <w:hyperlink w:anchor="envx10q-q22026exx322.htm">
              <w:r>
                <w:rPr>
                  <w:rStyle w:val="InternetLink"/>
                  <w:rFonts w:ascii="Times New Roman;serif" w:hAnsi="Times New Roman;serif"/>
                  <w:b w:val="false"/>
                  <w:color w:val="000080"/>
                  <w:sz w:val="20"/>
                  <w:u w:val="single"/>
                </w:rPr>
                <w:t>(Principal Financial and Accounting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tbl>
      <w:tblPr>
        <w:tblW w:w="10205" w:type="dxa"/>
        <w:jc w:val="left"/>
        <w:tblInd w:w="0" w:type="dxa"/>
        <w:tblLayout w:type="fixed"/>
        <w:tblCellMar>
          <w:top w:w="28" w:type="dxa"/>
          <w:left w:w="28" w:type="dxa"/>
          <w:bottom w:w="28" w:type="dxa"/>
          <w:right w:w="28" w:type="dxa"/>
        </w:tblCellMar>
      </w:tblPr>
      <w:tblGrid>
        <w:gridCol w:w="293"/>
        <w:gridCol w:w="239"/>
        <w:gridCol w:w="242"/>
        <w:gridCol w:w="109"/>
        <w:gridCol w:w="109"/>
        <w:gridCol w:w="109"/>
        <w:gridCol w:w="1956"/>
        <w:gridCol w:w="1912"/>
        <w:gridCol w:w="191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720"/>
        <w:jc w:val="both"/>
        <w:rPr/>
      </w:pPr>
      <w:r>
        <w:rPr/>
      </w:r>
    </w:p>
    <w:p>
      <w:pPr>
        <w:pStyle w:val="TextBody"/>
        <w:bidi w:val="0"/>
        <w:spacing w:lineRule="auto" w:line="276"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and Exhibit 32.2 that accompany this Quarterly Report on Form 10-Q are deemed furnished and are not filed with the SEC for purposes of the Exchange Act nor shall they be deemed incorporated by reference into any filing of Enovix Corporation under the Exchange Act or the Securities Act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left"/>
        <w:rPr/>
      </w:pPr>
      <w:hyperlink w:anchor="ib1461675ad594081a582b6dfd492717d_7">
        <w:r>
          <w:rPr>
            <w:rStyle w:val="InternetLink"/>
            <w:rFonts w:ascii="Times New Roman;serif" w:hAnsi="Times New Roman;serif"/>
            <w:b w:val="false"/>
            <w:color w:val="0000FF"/>
            <w:sz w:val="20"/>
            <w:u w:val="single"/>
          </w:rPr>
          <w:t>Table of Contents</w:t>
        </w:r>
      </w:hyperlink>
    </w:p>
    <w:p>
      <w:pPr>
        <w:pStyle w:val="TextBody"/>
        <w:bidi w:val="0"/>
        <w:spacing w:before="60" w:after="120"/>
        <w:jc w:val="left"/>
        <w:rPr/>
      </w:pPr>
      <w:r>
        <w:rPr/>
      </w:r>
    </w:p>
    <w:p>
      <w:pPr>
        <w:pStyle w:val="TextBody"/>
        <w:bidi w:val="0"/>
        <w:spacing w:lineRule="auto" w:line="288" w:before="3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195" w:type="dxa"/>
        <w:jc w:val="left"/>
        <w:tblInd w:w="0" w:type="dxa"/>
        <w:tblLayout w:type="fixed"/>
        <w:tblCellMar>
          <w:top w:w="28" w:type="dxa"/>
          <w:left w:w="28" w:type="dxa"/>
          <w:bottom w:w="28" w:type="dxa"/>
          <w:right w:w="28" w:type="dxa"/>
        </w:tblCellMar>
      </w:tblPr>
      <w:tblGrid>
        <w:gridCol w:w="743"/>
        <w:gridCol w:w="653"/>
        <w:gridCol w:w="659"/>
        <w:gridCol w:w="277"/>
        <w:gridCol w:w="277"/>
        <w:gridCol w:w="277"/>
        <w:gridCol w:w="1540"/>
        <w:gridCol w:w="1540"/>
        <w:gridCol w:w="222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c>
          <w:tcPr>
            <w:tcW w:w="6140"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Enovix Corporation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30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/s/ Raj Talluri</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Dr. Raj Talluri</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312" w:before="14"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312" w:before="14"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530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Ryan Benton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Ryan Benton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312" w:before="14"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312" w:before="14"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b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8285"/>
                <wp:effectExtent l="0" t="0" r="0" b="0"/>
                <wp:wrapNone/>
                <wp:docPr id="71" name="Frame7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center"/>
        <w:rPr/>
      </w:pPr>
      <w:r>
        <w:rPr/>
        <w:drawing>
          <wp:inline distT="0" distB="0" distL="0" distR="0">
            <wp:extent cx="1847850" cy="314325"/>
            <wp:effectExtent l="0" t="0" r="0" b="0"/>
            <wp:docPr id="7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 descr=""/>
                    <pic:cNvPicPr>
                      <a:picLocks noChangeAspect="1" noChangeArrowheads="1"/>
                    </pic:cNvPicPr>
                  </pic:nvPicPr>
                  <pic:blipFill>
                    <a:blip r:embed="rId8"/>
                    <a:stretch>
                      <a:fillRect/>
                    </a:stretch>
                  </pic:blipFill>
                  <pic:spPr bwMode="auto">
                    <a:xfrm>
                      <a:off x="0" y="0"/>
                      <a:ext cx="1847850" cy="314325"/>
                    </a:xfrm>
                    <a:prstGeom prst="rect">
                      <a:avLst/>
                    </a:prstGeom>
                  </pic:spPr>
                </pic:pic>
              </a:graphicData>
            </a:graphic>
          </wp:inline>
        </w:drawing>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July 4, 2026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Michael Vyvoda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Re:    Employment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Dear Michael:</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Enovix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 pleased to offer you the position of Chief Operating Officer reporting to the Chief Executive Officer (the “</w:t>
      </w:r>
      <w:r>
        <w:rPr>
          <w:rFonts w:ascii="Times New Roman;serif" w:hAnsi="Times New Roman;serif"/>
          <w:b/>
          <w:i/>
          <w:color w:val="000000"/>
          <w:sz w:val="22"/>
        </w:rPr>
        <w:t>CEO”</w:t>
      </w:r>
      <w:r>
        <w:rPr>
          <w:rFonts w:ascii="Times New Roman;serif" w:hAnsi="Times New Roman;serif"/>
          <w:b w:val="false"/>
          <w:color w:val="000000"/>
          <w:sz w:val="22"/>
        </w:rPr>
        <w:t>) subject to the terms and conditions provided herein effective as of the date you commence employment hereunder, which is expected to be on or around July 29, 2026 (the “</w:t>
      </w:r>
      <w:r>
        <w:rPr>
          <w:rFonts w:ascii="Times New Roman;serif" w:hAnsi="Times New Roman;serif"/>
          <w:b/>
          <w:i/>
          <w:color w:val="000000"/>
          <w:sz w:val="22"/>
        </w:rPr>
        <w:t>Start Date</w:t>
      </w:r>
      <w:r>
        <w:rPr>
          <w:color w:val="000000"/>
        </w:rPr>
        <w:t>”</w:t>
      </w:r>
      <w:r>
        <w:rPr>
          <w:rFonts w:ascii="Times New Roman;serif" w:hAnsi="Times New Roman;serif"/>
          <w:b w:val="false"/>
          <w:color w:val="000000"/>
          <w:sz w:val="22"/>
        </w:rPr>
        <w:t>). Your base salary will be $440,000 (the “</w:t>
      </w:r>
      <w:r>
        <w:rPr>
          <w:rFonts w:ascii="Times New Roman;serif" w:hAnsi="Times New Roman;serif"/>
          <w:b/>
          <w:i/>
          <w:color w:val="000000"/>
          <w:sz w:val="22"/>
        </w:rPr>
        <w:t>Base Salary</w:t>
      </w:r>
      <w:r>
        <w:rPr>
          <w:color w:val="000000"/>
        </w:rPr>
        <w:t>”</w:t>
      </w:r>
      <w:r>
        <w:rPr>
          <w:rFonts w:ascii="Times New Roman;serif" w:hAnsi="Times New Roman;serif"/>
          <w:b w:val="false"/>
          <w:color w:val="000000"/>
          <w:sz w:val="22"/>
        </w:rPr>
        <w:t>) which will be subject to adjustment pursuant to the Company’s employee compensation policies as may be in effect from time to time and periodic reviews, less payroll deductions and withholdings. You will be eligible for an annual discretionary bonus and your annual bonus target will be 60% of your Base Salary. The bonus payout will be based on achievement of specific performance goals and will be subject to the terms and conditions of the Enovix Bonus Plan specification, your continued employment through the payment date and approval by the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Subject to approval by the Board and your continued employment, you will be granted restricted stock units (“</w:t>
      </w:r>
      <w:r>
        <w:rPr>
          <w:rFonts w:ascii="Times New Roman;serif" w:hAnsi="Times New Roman;serif"/>
          <w:b/>
          <w:i/>
          <w:color w:val="000000"/>
          <w:sz w:val="22"/>
        </w:rPr>
        <w:t>RSUs</w:t>
      </w:r>
      <w:r>
        <w:rPr>
          <w:color w:val="000000"/>
        </w:rPr>
        <w:t>”</w:t>
      </w:r>
      <w:r>
        <w:rPr>
          <w:rFonts w:ascii="Times New Roman;serif" w:hAnsi="Times New Roman;serif"/>
          <w:b w:val="false"/>
          <w:color w:val="000000"/>
          <w:sz w:val="22"/>
        </w:rPr>
        <w:t>) having a combined total Fair Market Value (as defined in the Plan) of $4,000,000 as of the grant date. Each vested RSU constitutes the right to receive from the Company one share of the Company’s common stock.  The RSUs will be granted pursuant to the terms and conditions of the 2021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xml:space="preserve">), and related agreements and documents, to be provided to you, that will detail the terms and conditions related to the RSUs you will receive. Subject to Board approval, your grant agreement will include a four-year vesting schedule, under which twenty five percent (25%) of your RSUs will vest after twelve months of employment, with the remaining RSUs vesting quarterly thereafter, until either your RSUs are fully vested or your Continuous Service (as defined in the Plan) ends, whichever occurs first. </w:t>
      </w:r>
    </w:p>
    <w:p>
      <w:pPr>
        <w:pStyle w:val="TextBody"/>
        <w:bidi w:val="0"/>
        <w:spacing w:lineRule="auto" w:line="288" w:before="0" w:after="240"/>
        <w:ind w:left="0" w:right="0" w:firstLine="720"/>
        <w:jc w:val="both"/>
        <w:rPr/>
      </w:pPr>
      <w:r>
        <w:rPr>
          <w:rFonts w:ascii="Times New Roman;serif" w:hAnsi="Times New Roman;serif"/>
          <w:b w:val="false"/>
          <w:color w:val="000000"/>
          <w:sz w:val="22"/>
        </w:rPr>
        <w:t>Subject to approval by the Board and your continued employment, you will also receive sign-on RSUs having a combined total Fair Market Value of $100,000 as of the grant date (the “</w:t>
      </w:r>
      <w:r>
        <w:rPr>
          <w:rFonts w:ascii="Times New Roman;serif" w:hAnsi="Times New Roman;serif"/>
          <w:b/>
          <w:i/>
          <w:color w:val="000000"/>
          <w:sz w:val="22"/>
        </w:rPr>
        <w:t>Sign-on RSUs</w:t>
      </w:r>
      <w:r>
        <w:rPr>
          <w:color w:val="000000"/>
        </w:rPr>
        <w:t>”</w:t>
      </w:r>
      <w:r>
        <w:rPr>
          <w:rFonts w:ascii="Times New Roman;serif" w:hAnsi="Times New Roman;serif"/>
          <w:b w:val="false"/>
          <w:color w:val="000000"/>
          <w:sz w:val="22"/>
        </w:rPr>
        <w:t>). Each vested Sign-on RSU constitutes the right to receive from the Company one share of the Company’s common stock. The Sign-on RSUs will be granted pursuant to the terms and conditions of the Plan, and related agreements and documents, to be provided to you, that will detail the terms and conditions related to the Sign-on RSUs you will receive. Subject to Board approval, your grant agreement will include a vesting schedule, under which 100% of your Sign-on RSUs will vest on the date of grant. You agree that in the event your employment with the Company terminates either voluntarily or for Cause (as defined in the Plan), during the first year of your employment with the Company, 100% of the shares underlying the Sign-on RSUs, and if any of the shares have been sold, all of the pre-tax consideration you received upon the sale of such shares, will be immediately repayable by you to the Company.</w:t>
      </w:r>
    </w:p>
    <w:p>
      <w:pPr>
        <w:pStyle w:val="TextBody"/>
        <w:bidi w:val="0"/>
        <w:spacing w:lineRule="auto" w:line="288" w:before="0" w:after="240"/>
        <w:jc w:val="both"/>
        <w:rPr/>
      </w:pPr>
      <w:r>
        <w:rPr>
          <w:rFonts w:ascii="Times New Roman;serif" w:hAnsi="Times New Roman;serif"/>
          <w:b/>
          <w:color w:val="000000"/>
          <w:sz w:val="22"/>
        </w:rPr>
        <w:t>1.Employment by the Company</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Position</w:t>
      </w:r>
      <w:r>
        <w:rPr>
          <w:rFonts w:ascii="Times New Roman;serif" w:hAnsi="Times New Roman;serif"/>
          <w:b w:val="false"/>
          <w:color w:val="000000"/>
          <w:sz w:val="22"/>
        </w:rPr>
        <w:t xml:space="preserve">. As noted, you will serve as the Company’s Chief Operating Officer. </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Duties</w:t>
      </w:r>
      <w:r>
        <w:rPr>
          <w:rFonts w:ascii="Times New Roman;serif" w:hAnsi="Times New Roman;serif"/>
          <w:b w:val="false"/>
          <w:color w:val="000000"/>
          <w:sz w:val="22"/>
        </w:rPr>
        <w:t xml:space="preserve">. You will perform those duties and responsibilities as are customary for the position of Chief Operating Officer and as may be directed by the CEO, to whom you will report. Your primary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36550"/>
                <wp:effectExtent l="0" t="0" r="0" b="0"/>
                <wp:wrapNone/>
                <wp:docPr id="73" name="Frame72"/>
                <a:graphic xmlns:a="http://schemas.openxmlformats.org/drawingml/2006/main">
                  <a:graphicData uri="http://schemas.microsoft.com/office/word/2010/wordprocessingShape">
                    <wps:wsp>
                      <wps:cNvSpPr txBox="1"/>
                      <wps:spPr>
                        <a:xfrm>
                          <a:off x="0" y="0"/>
                          <a:ext cx="6480175" cy="336550"/>
                        </a:xfrm>
                        <a:prstGeom prst="rect"/>
                        <a:solidFill>
                          <a:srgbClr val="FFFFFF"/>
                        </a:solidFill>
                      </wps:spPr>
                      <wps:txbx>
                        <w:txbxContent>
                          <w:p>
                            <w:pPr>
                              <w:pStyle w:val="TextBody"/>
                              <w:bidi w:val="0"/>
                              <w:spacing w:before="0" w:after="0"/>
                              <w:jc w:val="center"/>
                              <w:rPr/>
                            </w:pPr>
                            <w:r>
                              <w:rPr/>
                              <w:drawing>
                                <wp:inline distT="0" distB="0" distL="0" distR="0">
                                  <wp:extent cx="6858000" cy="14605"/>
                                  <wp:effectExtent l="0" t="0" r="0" b="0"/>
                                  <wp:docPr id="7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 descr=""/>
                                          <pic:cNvPicPr>
                                            <a:picLocks noChangeAspect="1" noChangeArrowheads="1"/>
                                          </pic:cNvPicPr>
                                        </pic:nvPicPr>
                                        <pic:blipFill>
                                          <a:blip r:embed="rId9"/>
                                          <a:stretch>
                                            <a:fillRect/>
                                          </a:stretch>
                                        </pic:blipFill>
                                        <pic:spPr bwMode="auto">
                                          <a:xfrm>
                                            <a:off x="0" y="0"/>
                                            <a:ext cx="6858000" cy="14605"/>
                                          </a:xfrm>
                                          <a:prstGeom prst="rect">
                                            <a:avLst/>
                                          </a:prstGeom>
                                        </pic:spPr>
                                      </pic:pic>
                                    </a:graphicData>
                                  </a:graphic>
                                </wp:inline>
                              </w:drawing>
                            </w:r>
                            <w:r>
                              <w:br w:type="page"/>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3501 W. Warren Blvd. | Fremont, CA 94538 | USA | www.enovix.com</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6858000" cy="14605"/>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10"/>
                                    <a:stretch>
                                      <a:fillRect/>
                                    </a:stretch>
                                  </pic:blipFill>
                                  <pic:spPr bwMode="auto">
                                    <a:xfrm>
                                      <a:off x="0" y="0"/>
                                      <a:ext cx="6858000" cy="14605"/>
                                    </a:xfrm>
                                    <a:prstGeom prst="rect">
                                      <a:avLst/>
                                    </a:prstGeom>
                                  </pic:spPr>
                                </pic:pic>
                              </a:graphicData>
                            </a:graphic>
                          </wp:inline>
                        </w:drawing>
                      </w:r>
                    </w:p>
                    <w:p>
                      <w:pPr>
                        <w:pStyle w:val="TextBody"/>
                        <w:bidi w:val="0"/>
                        <w:spacing w:lineRule="auto" w:line="288" w:before="0" w:after="0"/>
                        <w:jc w:val="both"/>
                        <w:rPr>
                          <w:rFonts w:ascii="Montserrat;sans-serif" w:hAnsi="Montserrat;sans-serif"/>
                          <w:b w:val="false"/>
                          <w:color w:val="000000"/>
                          <w:sz w:val="16"/>
                        </w:rPr>
                      </w:pPr>
                      <w:r>
                        <w:rPr>
                          <w:rFonts w:ascii="Montserrat;sans-serif" w:hAnsi="Montserrat;sans-serif"/>
                          <w:b w:val="false"/>
                          <w:color w:val="000000"/>
                          <w:sz w:val="16"/>
                        </w:rPr>
                        <w:t>3501 W. Warren Blvd. | Fremont, CA 94538 | USA | www.enovix.com</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2 of 11</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office location will be the Company’s offices in Fremont,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Outside Activities</w:t>
      </w:r>
      <w:r>
        <w:rPr>
          <w:rFonts w:ascii="Times New Roman;serif" w:hAnsi="Times New Roman;serif"/>
          <w:b w:val="false"/>
          <w:color w:val="000000"/>
          <w:sz w:val="22"/>
        </w:rPr>
        <w:t>. Throughout your employment with the Company, you will devote substantially all of your working time, attention, and energies to the business of the Company, except during any paid vacation or other excused absence periods, provided, that may engage in civic and not-for-profit activities so long as such activities do not interfere with the performance of your duties hereunder or present a conflict of interest with the Company. During your employment by the Company, except on behalf of the Company, you will not directly or indirectly serve as an officer, director, employee, partner, proprietor, investor, joint venturer, associate, representative or consultant of any other person, corporation, firm, partnership or other entity whatsoever that competes with the Company (or that is planning or preparing to compete with the Company), anywhere in the world, in any line of business engaged in (or planned to be engaged in) by the Company or otherwise any entity where such service could raise a conflict of interest; provided, however, that you may purchase or otherwise acquire up to (but not more than) two percent (2%) of any class of securities of any enterprise (but without participating in the activities of such enterprise) if such securities are listed on any national or regional securities exchange.</w:t>
      </w:r>
    </w:p>
    <w:p>
      <w:pPr>
        <w:pStyle w:val="TextBody"/>
        <w:bidi w:val="0"/>
        <w:spacing w:lineRule="auto" w:line="288"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Compensation and Benefits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Base Salary</w:t>
      </w:r>
      <w:r>
        <w:rPr>
          <w:rFonts w:ascii="Times New Roman;serif" w:hAnsi="Times New Roman;serif"/>
          <w:b w:val="false"/>
          <w:color w:val="000000"/>
          <w:sz w:val="22"/>
        </w:rPr>
        <w:t>. As previously noted, you will be paid a Base Salary at the rate of $440,000 per year, less applicable payroll deductions and withholdings.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Employee Benefits</w:t>
      </w:r>
      <w:r>
        <w:rPr>
          <w:rFonts w:ascii="Times New Roman;serif" w:hAnsi="Times New Roman;serif"/>
          <w:b w:val="false"/>
          <w:color w:val="000000"/>
          <w:sz w:val="22"/>
        </w:rPr>
        <w:t>. As a regular full-time employee, you will remain eligible to participate in the Company’s standard employee benefits offered 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 and you acknowledge that nothing herein shall be construed to limit the Company’s ability to amend, suspend, or terminate any benefit plan or policy at any time without providing you notice, and the right to do so is expressly reserved.</w:t>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Annual Discretionary Bonus</w:t>
      </w:r>
      <w:r>
        <w:rPr>
          <w:rFonts w:ascii="Times New Roman;serif" w:hAnsi="Times New Roman;serif"/>
          <w:b w:val="false"/>
          <w:color w:val="000000"/>
          <w:sz w:val="22"/>
        </w:rPr>
        <w:t>. You will also be eligible to earn an annual discretionary bonus and your annual bonus target will be 60% of your Base Salary. The amount of this bonus will be determined in the sole discretion of the Company and based, in part, on your performance and the performance of the Company during the calendar year, as well as any other criteria the Company deems relevant. Subject to Sections 5(b) and 5(c) herein, the bonus is not earned until paid and no pro-rated amount will be paid if your employment terminates for any reason prior to the payment date.</w:t>
      </w:r>
    </w:p>
    <w:p>
      <w:pPr>
        <w:pStyle w:val="TextBody"/>
        <w:bidi w:val="0"/>
        <w:spacing w:lineRule="auto" w:line="288"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Equity Compensation</w:t>
      </w:r>
      <w:r>
        <w:rPr>
          <w:rFonts w:ascii="Times New Roman;serif" w:hAnsi="Times New Roman;serif"/>
          <w:b w:val="false"/>
          <w:color w:val="000000"/>
          <w:sz w:val="22"/>
        </w:rPr>
        <w:t xml:space="preserve">. As noted, subject to approval by the Board and your continued employment, you will be granted RSUs having a combined total Fair Market Value of $4,000,000 as of the grant date. Your grant agreement will include a four-year vesting schedule, under which twenty five percent (25%) of your RSUs will vest after twelve months of employment, with the remaining RSUs vesting quarterly thereafter, until either your RSUs are fully vested or your Continuous Service (as defined in the Plan) ends, whichever occurs first. You may be considered for additional equity awards under the Plan, as determined within the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2100"/>
                <wp:effectExtent l="0" t="0" r="0" b="0"/>
                <wp:wrapNone/>
                <wp:docPr id="76" name="Frame7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3 of 11</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discretion of the Board. For purposes of this Agreement, “</w:t>
      </w:r>
      <w:r>
        <w:rPr>
          <w:rFonts w:ascii="Times New Roman;serif" w:hAnsi="Times New Roman;serif"/>
          <w:b/>
          <w:i/>
          <w:color w:val="000000"/>
          <w:sz w:val="22"/>
        </w:rPr>
        <w:t>Equity Awards</w:t>
      </w:r>
      <w:r>
        <w:rPr>
          <w:color w:val="000000"/>
        </w:rPr>
        <w:t xml:space="preserve">” </w:t>
      </w:r>
      <w:r>
        <w:rPr>
          <w:rFonts w:ascii="Times New Roman;serif" w:hAnsi="Times New Roman;serif"/>
          <w:b w:val="false"/>
          <w:color w:val="000000"/>
          <w:sz w:val="22"/>
        </w:rPr>
        <w:t>shall mean all stock options, restricted stock and RSUs, and such other equity awards granted pursuant to the Plan, and any applicable agreements and grant notices.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noted, subject to approval by the Board and your continued employment, you will also receive Sign-on RSUs having a combined total Fair Market Value of $100,000 as of the grant date. Each vested Sign-on RSU constitutes the right to receive from the Company one share of the Company’s common stock. The Sign-on RSUs will be granted pursuant to the terms and conditions of the Plan, and related agreements and documents, to be provided to you, that will detail the terms and conditions related to the Sign-on RSUs you will receive. Subject to Board approval, your grant agreement will include a vesting schedule, under which 100% of your Sign-on RSUs will vest on the date of grant. You agree that in the event your employment with the Company terminates either voluntarily or for Cause (as defined in the Plan), during the first year of your employment with the Company, 100% of the shares underlying the Sign-on RSUs, and if any of the shares have been sold, all of the pre-tax consideration you received upon the sale of such shares, will be immediately repayable by you to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(e)</w:t>
      </w:r>
      <w:r>
        <w:rPr>
          <w:rFonts w:ascii="Times New Roman;serif" w:hAnsi="Times New Roman;serif"/>
          <w:b/>
          <w:color w:val="000000"/>
          <w:sz w:val="22"/>
        </w:rPr>
        <w:t>Expenses</w:t>
      </w:r>
      <w:r>
        <w:rPr>
          <w:rFonts w:ascii="Times New Roman;serif" w:hAnsi="Times New Roman;serif"/>
          <w:b w:val="false"/>
          <w:color w:val="000000"/>
          <w:sz w:val="22"/>
        </w:rPr>
        <w:t>. The Company will reimburse you for reasonable travel, entertainment or other expenses incurred by you in furtherance of or in connection with the performance of your duties hereunder, in accordance with the Company’s expense reimbursement policies and practices as in effect from time to time.</w:t>
      </w:r>
    </w:p>
    <w:p>
      <w:pPr>
        <w:pStyle w:val="TextBody"/>
        <w:bidi w:val="0"/>
        <w:spacing w:lineRule="auto" w:line="288"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 xml:space="preserve">Confidential Information. </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Confidentiality Agreement</w:t>
      </w:r>
      <w:r>
        <w:rPr>
          <w:rFonts w:ascii="Times New Roman;serif" w:hAnsi="Times New Roman;serif"/>
          <w:b w:val="false"/>
          <w:color w:val="000000"/>
          <w:sz w:val="22"/>
        </w:rPr>
        <w:t>. As a Company employee, you will be expected to continue to abide by Company rules and policies including those rules and policies regarding the protection of the Company’s confidential information. You will remain subject to the terms of the Employee Confidential Information and Inventions Assignment Agreement, which you are required to sign before you join the Company, which prohibits unauthorized use or disclosure of the Company’s proprietary information, among other obligations (the “</w:t>
      </w:r>
      <w:r>
        <w:rPr>
          <w:rFonts w:ascii="Times New Roman;serif" w:hAnsi="Times New Roman;serif"/>
          <w:b/>
          <w:i/>
          <w:color w:val="000000"/>
          <w:sz w:val="22"/>
        </w:rPr>
        <w:t>Confidentiality Agreement</w:t>
      </w:r>
      <w:r>
        <w:rPr>
          <w:color w:val="000000"/>
        </w:rPr>
        <w:t>”</w:t>
      </w:r>
      <w:r>
        <w:rPr>
          <w:rFonts w:ascii="Times New Roman;serif" w:hAnsi="Times New Roman;serif"/>
          <w:b w:val="false"/>
          <w:color w:val="000000"/>
          <w:sz w:val="22"/>
        </w:rPr>
        <w:t xml:space="preserve">), and which is incorporated herein by reference. </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Conflicting Obligations</w:t>
      </w:r>
      <w:r>
        <w:rPr>
          <w:rFonts w:ascii="Times New Roman;serif" w:hAnsi="Times New Roman;serif"/>
          <w:b w:val="false"/>
          <w:color w:val="000000"/>
          <w:sz w:val="22"/>
        </w:rPr>
        <w:t xml:space="preserve">. 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information,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 </w:t>
      </w:r>
    </w:p>
    <w:p>
      <w:pPr>
        <w:pStyle w:val="TextBody"/>
        <w:bidi w:val="0"/>
        <w:spacing w:lineRule="auto" w:line="288"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At-Will Employment Relationship</w:t>
      </w:r>
      <w:r>
        <w:rPr>
          <w:rFonts w:ascii="Times New Roman;serif" w:hAnsi="Times New Roman;serif"/>
          <w:b w:val="false"/>
          <w:color w:val="000000"/>
          <w:sz w:val="22"/>
        </w:rPr>
        <w:t>. Your employment relationship with the Company is at will. Accordingly, you may terminate your employment with the Company at any time and for any reason whatsoever simply by notifying the Company; and the Company may terminate your employment at any time, with or without Cause or advance notice.</w:t>
      </w:r>
    </w:p>
    <w:p>
      <w:pPr>
        <w:pStyle w:val="TextBody"/>
        <w:bidi w:val="0"/>
        <w:spacing w:lineRule="auto" w:line="288"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 xml:space="preserve">Severance. </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Resignation Without Good Reason; Termination for Cause; Death or Disability</w:t>
      </w:r>
      <w:r>
        <w:rPr>
          <w:rFonts w:ascii="Times New Roman;serif" w:hAnsi="Times New Roman;serif"/>
          <w:b w:val="false"/>
          <w:color w:val="000000"/>
          <w:sz w:val="22"/>
        </w:rPr>
        <w:t xml:space="preserve">. If, at any time, you resign your employment without Good Reason (as defined herein), or the Company terminates your employment for Cause (as defined herein), or if either party terminates your employment as a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2100"/>
                <wp:effectExtent l="0" t="0" r="0" b="0"/>
                <wp:wrapNone/>
                <wp:docPr id="77" name="Frame7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4 of 11</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any severance benefits as set forth herein, other than your rights to the vested portion of your equity interests and any other rights to which you are entitled under the Company’s benefit programs.</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Qualifying Termination Outside of a Change of Control</w:t>
      </w:r>
      <w:r>
        <w:rPr>
          <w:rFonts w:ascii="Times New Roman;serif" w:hAnsi="Times New Roman;serif"/>
          <w:b w:val="false"/>
          <w:color w:val="000000"/>
          <w:sz w:val="22"/>
        </w:rPr>
        <w:t>. If, beginning at a point in time that is at least four (4) months after your start date as an employee, the Company terminates your employment without Cause (as defined herein, and provided that a termination due to your death or disability shall not constitute a termination without Cause), or you resign for Good Reason (either such termination referred to as a “</w:t>
      </w:r>
      <w:r>
        <w:rPr>
          <w:rFonts w:ascii="Times New Roman;serif" w:hAnsi="Times New Roman;serif"/>
          <w:b/>
          <w:i/>
          <w:color w:val="000000"/>
          <w:sz w:val="22"/>
        </w:rPr>
        <w:t>Qualifying Termination</w:t>
      </w:r>
      <w:r>
        <w:rPr>
          <w:color w:val="000000"/>
        </w:rPr>
        <w:t>”</w:t>
      </w:r>
      <w:r>
        <w:rPr>
          <w:rFonts w:ascii="Times New Roman;serif" w:hAnsi="Times New Roman;serif"/>
          <w:b w:val="false"/>
          <w:color w:val="000000"/>
          <w:sz w:val="22"/>
        </w:rPr>
        <w:t>), provided such termination or resignation constitutes a Separation from Service (as defined under Treasury Regulation Section 1.409A-1(h), without regard to any alternative definition thereunder, a “</w:t>
      </w:r>
      <w:r>
        <w:rPr>
          <w:rFonts w:ascii="Times New Roman;serif" w:hAnsi="Times New Roman;serif"/>
          <w:b/>
          <w:i/>
          <w:color w:val="000000"/>
          <w:sz w:val="22"/>
        </w:rPr>
        <w:t>Separation from Service</w:t>
      </w:r>
      <w:r>
        <w:rPr>
          <w:color w:val="000000"/>
        </w:rPr>
        <w:t>”</w:t>
      </w:r>
      <w:r>
        <w:rPr>
          <w:rFonts w:ascii="Times New Roman;serif" w:hAnsi="Times New Roman;serif"/>
          <w:b w:val="false"/>
          <w:color w:val="000000"/>
          <w:sz w:val="22"/>
        </w:rPr>
        <w:t>), then subject to your satisfaction of the Severance Preconditions (as defined below), the Company will provide you with the following severance benefits (the “</w:t>
      </w:r>
      <w:r>
        <w:rPr>
          <w:rFonts w:ascii="Times New Roman;serif" w:hAnsi="Times New Roman;serif"/>
          <w:b/>
          <w:i/>
          <w:color w:val="000000"/>
          <w:sz w:val="22"/>
        </w:rPr>
        <w:t>Severance Benefits</w:t>
      </w:r>
      <w:r>
        <w:rPr>
          <w:color w:val="000000"/>
        </w:rPr>
        <w:t>”</w:t>
      </w:r>
      <w:r>
        <w:rPr>
          <w:rFonts w:ascii="Times New Roman;serif" w:hAnsi="Times New Roman;serif"/>
          <w:b w:val="false"/>
          <w:color w:val="000000"/>
          <w:sz w:val="22"/>
        </w:rPr>
        <w:t>) based upon your title immediately prior to the time of the Qualifying Termination:</w:t>
      </w:r>
    </w:p>
    <w:p>
      <w:pPr>
        <w:pStyle w:val="TextBody"/>
        <w:bidi w:val="0"/>
        <w:spacing w:lineRule="auto" w:line="288" w:before="0" w:after="240"/>
        <w:ind w:left="0" w:right="0" w:firstLine="2160"/>
        <w:jc w:val="both"/>
        <w:rPr/>
      </w:pPr>
      <w:r>
        <w:rPr>
          <w:rFonts w:ascii="Times New Roman;serif" w:hAnsi="Times New Roman;serif"/>
          <w:b/>
          <w:color w:val="000000"/>
          <w:sz w:val="22"/>
        </w:rPr>
        <w:t>(i)</w:t>
      </w:r>
      <w:r>
        <w:rPr>
          <w:rFonts w:ascii="Times New Roman;serif" w:hAnsi="Times New Roman;serif"/>
          <w:b/>
          <w:color w:val="000000"/>
          <w:sz w:val="22"/>
        </w:rPr>
        <w:t>Cash Severance</w:t>
      </w:r>
      <w:r>
        <w:rPr>
          <w:rFonts w:ascii="Times New Roman;serif" w:hAnsi="Times New Roman;serif"/>
          <w:b w:val="false"/>
          <w:color w:val="000000"/>
          <w:sz w:val="22"/>
        </w:rPr>
        <w:t xml:space="preserve">. The Company will pay you, as cash severance, an amount equal to the number of months set forth on </w:t>
      </w:r>
      <w:r>
        <w:rPr>
          <w:rFonts w:ascii="Times New Roman;serif" w:hAnsi="Times New Roman;serif"/>
          <w:b/>
          <w:color w:val="000000"/>
          <w:sz w:val="22"/>
        </w:rPr>
        <w:t>Appendix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Severance Multiplier</w:t>
      </w:r>
      <w:r>
        <w:rPr>
          <w:color w:val="000000"/>
        </w:rPr>
        <w:t>”</w:t>
      </w:r>
      <w:r>
        <w:rPr>
          <w:rFonts w:ascii="Times New Roman;serif" w:hAnsi="Times New Roman;serif"/>
          <w:b w:val="false"/>
          <w:color w:val="000000"/>
          <w:sz w:val="22"/>
        </w:rPr>
        <w:t>) of your Base Salary in effect as of your Separation from Service date, less standard payroll deductions and tax withholdings (the “</w:t>
      </w:r>
      <w:r>
        <w:rPr>
          <w:rFonts w:ascii="Times New Roman;serif" w:hAnsi="Times New Roman;serif"/>
          <w:b/>
          <w:i/>
          <w:color w:val="000000"/>
          <w:sz w:val="22"/>
        </w:rPr>
        <w:t>Cash Severance</w:t>
      </w:r>
      <w:r>
        <w:rPr>
          <w:color w:val="000000"/>
        </w:rPr>
        <w:t>”</w:t>
      </w:r>
      <w:r>
        <w:rPr>
          <w:rFonts w:ascii="Times New Roman;serif" w:hAnsi="Times New Roman;serif"/>
          <w:b w:val="false"/>
          <w:color w:val="000000"/>
          <w:sz w:val="22"/>
        </w:rPr>
        <w:t>). The Cash Severance will be paid in installments in the form of continuation of your Base Salary payments, paid on the Company’s ordinary payroll dates, commencing on the Company’s first regular payroll date that is more than 60 days following your Separation from Service date, and shall be for any accrued Base Salary for the 60-day period plus the period from the 60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until the regular payroll date, if applicable, and all salary continuation payments thereafter, if any, shall be made on the Company’s regular payroll dates.</w:t>
      </w:r>
    </w:p>
    <w:p>
      <w:pPr>
        <w:pStyle w:val="TextBody"/>
        <w:bidi w:val="0"/>
        <w:spacing w:lineRule="auto" w:line="288" w:before="0" w:after="240"/>
        <w:ind w:left="0" w:right="0" w:firstLine="2160"/>
        <w:jc w:val="both"/>
        <w:rPr/>
      </w:pPr>
      <w:r>
        <w:rPr>
          <w:rFonts w:ascii="Times New Roman;serif" w:hAnsi="Times New Roman;serif"/>
          <w:b/>
          <w:color w:val="000000"/>
          <w:sz w:val="22"/>
        </w:rPr>
        <w:t>(ii)</w:t>
      </w:r>
      <w:r>
        <w:rPr>
          <w:rFonts w:ascii="Times New Roman;serif" w:hAnsi="Times New Roman;serif"/>
          <w:b/>
          <w:color w:val="000000"/>
          <w:sz w:val="22"/>
        </w:rPr>
        <w:t>COBRA Severance</w:t>
      </w:r>
      <w:r>
        <w:rPr>
          <w:rFonts w:ascii="Times New Roman;serif" w:hAnsi="Times New Roman;serif"/>
          <w:b w:val="false"/>
          <w:color w:val="000000"/>
          <w:sz w:val="22"/>
        </w:rPr>
        <w:t xml:space="preserve">. As an additional Severance Benefit, the Company will continue to pay the cost of your health care coverage in effect at the time of your Separation from Service for a maximum number of months as set forth on </w:t>
      </w:r>
      <w:r>
        <w:rPr>
          <w:rFonts w:ascii="Times New Roman;serif" w:hAnsi="Times New Roman;serif"/>
          <w:b/>
          <w:color w:val="000000"/>
          <w:sz w:val="22"/>
        </w:rPr>
        <w:t>Appendix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COBRA Months</w:t>
      </w:r>
      <w:r>
        <w:rPr>
          <w:color w:val="000000"/>
        </w:rPr>
        <w:t>”</w:t>
      </w:r>
      <w:r>
        <w:rPr>
          <w:rFonts w:ascii="Times New Roman;serif" w:hAnsi="Times New Roman;serif"/>
          <w:b w:val="false"/>
          <w:color w:val="000000"/>
          <w:sz w:val="22"/>
        </w:rPr>
        <w:t>) either under the Company’s regular health plan (if permitted), or by paying your COBRA premiums (the “</w:t>
      </w:r>
      <w:r>
        <w:rPr>
          <w:rFonts w:ascii="Times New Roman;serif" w:hAnsi="Times New Roman;serif"/>
          <w:b/>
          <w:i/>
          <w:color w:val="000000"/>
          <w:sz w:val="22"/>
        </w:rPr>
        <w:t>COBRA Severance</w:t>
      </w:r>
      <w:r>
        <w:rPr>
          <w:color w:val="000000"/>
        </w:rPr>
        <w:t>”</w:t>
      </w:r>
      <w:r>
        <w:rPr>
          <w:rFonts w:ascii="Times New Roman;serif" w:hAnsi="Times New Roman;serif"/>
          <w:b w:val="false"/>
          <w:color w:val="000000"/>
          <w:sz w:val="22"/>
        </w:rPr>
        <w:t>). The Company’s obligation to pay the COBRA Severance on your behalf will cease if you obtain health care coverage from another source (e.g., a new employer or spouse’s benefit plan), unless otherwise prohibited by applicable law. You must notify the Company within two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Code Section 105(h) or Section 2716 of the Public Health Service Act), the Company shall in lieu thereof provide to you a taxable monthly payment in an amount equal to the monthly COBRA premium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 (i) the date upon which you obtain other coverage or (ii) the last day of the month that is the last full month of the number of COBRA Months following your Separation from Service date. You may, but are not obligated to, use such taxable monthly payments to pay for medical expenses.</w:t>
      </w:r>
    </w:p>
    <w:p>
      <w:pPr>
        <w:pStyle w:val="TextBody"/>
        <w:bidi w:val="0"/>
        <w:spacing w:lineRule="auto" w:line="288" w:before="0" w:after="240"/>
        <w:ind w:left="0" w:right="0" w:firstLine="2160"/>
        <w:jc w:val="both"/>
        <w:rPr/>
      </w:pPr>
      <w:r>
        <w:rPr>
          <w:rFonts w:ascii="Times New Roman;serif" w:hAnsi="Times New Roman;serif"/>
          <w:b/>
          <w:color w:val="000000"/>
          <w:sz w:val="22"/>
        </w:rPr>
        <w:t>(iii)</w:t>
      </w:r>
      <w:r>
        <w:rPr>
          <w:rFonts w:ascii="Times New Roman;serif" w:hAnsi="Times New Roman;serif"/>
          <w:b/>
          <w:color w:val="000000"/>
          <w:sz w:val="22"/>
        </w:rPr>
        <w:t xml:space="preserve">Pro Rata Bonus. </w:t>
      </w:r>
      <w:r>
        <w:rPr>
          <w:rFonts w:ascii="Times New Roman;serif" w:hAnsi="Times New Roman;serif"/>
          <w:b w:val="false"/>
          <w:color w:val="000000"/>
          <w:sz w:val="22"/>
        </w:rPr>
        <w:t>The Company will also pay you a prorated amount of your annual target bonus based upon your dates of employment during the calendar year in which your Separation of Service occurs, less standard payroll deductions and tax withholdings. This additional cash severance amount will be paid in a lump sum at the same time annual bonuses are paid to employees pursuant to Section 2(c).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2100"/>
                <wp:effectExtent l="0" t="0" r="0" b="0"/>
                <wp:wrapNone/>
                <wp:docPr id="78" name="Frame7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5 of 11</w:t>
      </w:r>
    </w:p>
    <w:p>
      <w:pPr>
        <w:pStyle w:val="TextBody"/>
        <w:bidi w:val="0"/>
        <w:spacing w:before="0" w:after="0"/>
        <w:jc w:val="both"/>
        <w:rPr/>
      </w:pPr>
      <w:r>
        <w:rPr/>
      </w:r>
    </w:p>
    <w:p>
      <w:pPr>
        <w:pStyle w:val="TextBody"/>
        <w:bidi w:val="0"/>
        <w:spacing w:lineRule="auto" w:line="288" w:before="0" w:after="240"/>
        <w:ind w:left="0" w:right="0" w:firstLine="2160"/>
        <w:jc w:val="both"/>
        <w:rPr/>
      </w:pPr>
      <w:r>
        <w:rPr>
          <w:rFonts w:ascii="Times New Roman;serif" w:hAnsi="Times New Roman;serif"/>
          <w:b/>
          <w:color w:val="000000"/>
          <w:sz w:val="22"/>
        </w:rPr>
        <w:t>(iv)</w:t>
      </w:r>
      <w:r>
        <w:rPr>
          <w:rFonts w:ascii="Times New Roman;serif" w:hAnsi="Times New Roman;serif"/>
          <w:b/>
          <w:color w:val="000000"/>
          <w:sz w:val="22"/>
        </w:rPr>
        <w:t xml:space="preserve">Accelerated Vesting. </w:t>
      </w:r>
      <w:r>
        <w:rPr>
          <w:rFonts w:ascii="Times New Roman;serif" w:hAnsi="Times New Roman;serif"/>
          <w:b w:val="false"/>
          <w:color w:val="000000"/>
          <w:sz w:val="22"/>
        </w:rPr>
        <w:t>The Company shall accelerate vesting of the number of then-unvested shares subject to the Equity Awards that would have vested had your employment continued for an additional number of months as set forth on Appendix A (the “</w:t>
      </w:r>
      <w:r>
        <w:rPr>
          <w:rFonts w:ascii="Times New Roman;serif" w:hAnsi="Times New Roman;serif"/>
          <w:b/>
          <w:i/>
          <w:color w:val="000000"/>
          <w:sz w:val="22"/>
        </w:rPr>
        <w:t>Vesting Months</w:t>
      </w:r>
      <w:r>
        <w:rPr>
          <w:color w:val="000000"/>
        </w:rPr>
        <w:t>”</w:t>
      </w:r>
      <w:r>
        <w:rPr>
          <w:rFonts w:ascii="Times New Roman;serif" w:hAnsi="Times New Roman;serif"/>
          <w:b w:val="false"/>
          <w:color w:val="000000"/>
          <w:sz w:val="22"/>
        </w:rPr>
        <w:t xml:space="preserve">) after the Separation from Service date, such that those number of shares shall be deemed immediately vested and (if applicable) exercisable as of your Separation from Service date. </w:t>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Qualifying Termination In Connection with A Change of Control</w:t>
      </w:r>
      <w:r>
        <w:rPr>
          <w:rFonts w:ascii="Times New Roman;serif" w:hAnsi="Times New Roman;serif"/>
          <w:b w:val="false"/>
          <w:color w:val="000000"/>
          <w:sz w:val="22"/>
        </w:rPr>
        <w:t>. In the event of a Qualifying Termination that occurs within the 3 months preceding or the 12 months following the closing of a Change of Control (as defined herein), and provided such Qualifying Termination constitutes a Separation from Service, then subject to your satisfaction of the Severance Preconditions, and based upon your title immediately prior to the time of the Qualifying Termination, you shall be entitled to a Cash Severance as set forth in section 5(b)(i), a COBRA Severance as set forth in Section 5(b)(ii), a prorated amount of your annual target bonus as set forth in Section 5(b)(iii), accelerated vesting as provided in section 5(b)(iv) and, in addition, the Company shall accelerate the vesting of any remaining then-unvested shares subject to your Equity Awards (i.e., any shares that remain unvested after taking into account the accelerated vesting as provided in section 5(b)(iv)) such that the percentage of the remaining then-unvested shares as set forth on Exhibit A (the “</w:t>
      </w:r>
      <w:r>
        <w:rPr>
          <w:rFonts w:ascii="Times New Roman;serif" w:hAnsi="Times New Roman;serif"/>
          <w:b/>
          <w:i/>
          <w:color w:val="000000"/>
          <w:sz w:val="22"/>
        </w:rPr>
        <w:t>Double Trigger Percentage</w:t>
      </w:r>
      <w:r>
        <w:rPr>
          <w:color w:val="000000"/>
        </w:rPr>
        <w:t>”</w:t>
      </w:r>
      <w:r>
        <w:rPr>
          <w:rFonts w:ascii="Times New Roman;serif" w:hAnsi="Times New Roman;serif"/>
          <w:b w:val="false"/>
          <w:color w:val="000000"/>
          <w:sz w:val="22"/>
        </w:rPr>
        <w:t>) shall be deemed immediately vested and (if applicable) exercisable as of your Separation from Service date (“</w:t>
      </w:r>
      <w:r>
        <w:rPr>
          <w:rFonts w:ascii="Times New Roman;serif" w:hAnsi="Times New Roman;serif"/>
          <w:b/>
          <w:i/>
          <w:color w:val="000000"/>
          <w:sz w:val="22"/>
        </w:rPr>
        <w:t>Double Trigger Acceleration</w:t>
      </w:r>
      <w:r>
        <w:rPr>
          <w:color w:val="000000"/>
        </w:rPr>
        <w:t>”</w:t>
      </w:r>
      <w:r>
        <w:rPr>
          <w:rFonts w:ascii="Times New Roman;serif" w:hAnsi="Times New Roman;serif"/>
          <w:b w:val="false"/>
          <w:color w:val="000000"/>
          <w:sz w:val="22"/>
        </w:rPr>
        <w:t xml:space="preserve">). For the avoidance of doubt, and notwithstanding anything in section 5(b) to the contrary, your entitlement to the severance benefits provided in this section 5(c) is independent of the length of time of your employment with the Company. </w:t>
      </w:r>
    </w:p>
    <w:p>
      <w:pPr>
        <w:pStyle w:val="TextBody"/>
        <w:bidi w:val="0"/>
        <w:spacing w:lineRule="auto" w:line="288"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Severance Preconditions</w:t>
      </w:r>
      <w:r>
        <w:rPr>
          <w:rFonts w:ascii="Times New Roman;serif" w:hAnsi="Times New Roman;serif"/>
          <w:b w:val="false"/>
          <w:color w:val="000000"/>
          <w:sz w:val="22"/>
        </w:rPr>
        <w:t>. Prior to and as a condition to your receipt of the Severance Benefits or Double Trigger Acceleration set forth in Sections 5(b) and 5(c) herein, you shall: (a) execute and deliver to the Company a release of claims in favor of and in a form acceptable to the Company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that becomes effective within the timeframe set forth therein, but not later than 60 days following your Separation from Service date (such latest permitted effective date, the “</w:t>
      </w:r>
      <w:r>
        <w:rPr>
          <w:rFonts w:ascii="Times New Roman;serif" w:hAnsi="Times New Roman;serif"/>
          <w:b/>
          <w:i/>
          <w:color w:val="000000"/>
          <w:sz w:val="22"/>
        </w:rPr>
        <w:t>Release Deadline</w:t>
      </w:r>
      <w:r>
        <w:rPr>
          <w:color w:val="000000"/>
        </w:rPr>
        <w:t>”</w:t>
      </w:r>
      <w:r>
        <w:rPr>
          <w:rFonts w:ascii="Times New Roman;serif" w:hAnsi="Times New Roman;serif"/>
          <w:b w:val="false"/>
          <w:color w:val="000000"/>
          <w:sz w:val="22"/>
        </w:rPr>
        <w:t>); (b) continue to comply with the terms of this Agreement and the Confidentiality Agreement; and (c) return to the Company all Company documents (and all copies thereof) and other Company property in your possession, custody or control, (collectively, the “</w:t>
      </w:r>
      <w:r>
        <w:rPr>
          <w:rFonts w:ascii="Times New Roman;serif" w:hAnsi="Times New Roman;serif"/>
          <w:b/>
          <w:i/>
          <w:color w:val="000000"/>
          <w:sz w:val="22"/>
        </w:rPr>
        <w:t>Severance Preconditions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color w:val="000000"/>
          <w:sz w:val="22"/>
        </w:rPr>
        <w:t>(e)</w:t>
      </w:r>
      <w:r>
        <w:rPr>
          <w:rFonts w:ascii="Times New Roman;serif" w:hAnsi="Times New Roman;serif"/>
          <w:b/>
          <w:color w:val="000000"/>
          <w:sz w:val="22"/>
        </w:rPr>
        <w:t>Definitions.</w:t>
      </w:r>
      <w:r>
        <w:rPr>
          <w:color w:val="000000"/>
        </w:rPr>
        <w:t xml:space="preserve"> </w:t>
      </w:r>
      <w:r>
        <w:rPr>
          <w:rFonts w:ascii="Times New Roman;serif" w:hAnsi="Times New Roman;serif"/>
          <w:b w:val="false"/>
          <w:color w:val="000000"/>
          <w:sz w:val="22"/>
        </w:rPr>
        <w:t>For purposes of this Agreement, the following terms shall have the following meanings:</w:t>
      </w:r>
    </w:p>
    <w:p>
      <w:pPr>
        <w:pStyle w:val="TextBody"/>
        <w:bidi w:val="0"/>
        <w:spacing w:lineRule="auto" w:line="288" w:before="0" w:after="240"/>
        <w:ind w:left="0" w:right="0" w:firstLine="2160"/>
        <w:jc w:val="both"/>
        <w:rPr/>
      </w:pPr>
      <w:r>
        <w:rPr>
          <w:rFonts w:ascii="Times New Roman;serif" w:hAnsi="Times New Roman;serif"/>
          <w:b/>
          <w:color w:val="000000"/>
          <w:sz w:val="22"/>
        </w:rPr>
        <w:t>(i)</w:t>
      </w:r>
      <w:r>
        <w:rPr>
          <w:rFonts w:ascii="Times New Roman;serif" w:hAnsi="Times New Roman;serif"/>
          <w:b/>
          <w:color w:val="000000"/>
          <w:sz w:val="22"/>
        </w:rPr>
        <w:t>Cause</w:t>
      </w:r>
      <w:r>
        <w:rPr>
          <w:rFonts w:ascii="Times New Roman;serif" w:hAnsi="Times New Roman;serif"/>
          <w:b w:val="false"/>
          <w:color w:val="000000"/>
          <w:sz w:val="22"/>
        </w:rPr>
        <w:t>. For purposes of this Agreement, “</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for termination will mean your: (i) commission or conviction (including a guilty plea or plea of nolo contendere) of any felony or any other crime involving fraud, dishonesty or moral turpitude; (ii) your commission or attempted commission of or participation in a fraud or act of dishonesty or misrepresentation against the Company; (iii) material breach of your duties to the Company; (iv) intentional damage to any property of the Company; (v) misconduct, or other violation of Company policy that causes harm to the Company; (vi) your material violation of any written and fully executed contract or agreement between you and the Company, including without limitation, material breach of your Confidentiality Agreement, or of any Company policy, or of any statutory duty you owe to the Company; or (vii) conduct by you which in the good faith and reasonable determination of the Company demonstrates gross unfitness to serve. The determination that a termination is for Cause shall be made by the Company in its sole discretion.</w:t>
      </w:r>
    </w:p>
    <w:p>
      <w:pPr>
        <w:pStyle w:val="TextBody"/>
        <w:bidi w:val="0"/>
        <w:spacing w:lineRule="auto" w:line="288" w:before="0" w:after="240"/>
        <w:ind w:left="0" w:right="0" w:firstLine="2160"/>
        <w:jc w:val="both"/>
        <w:rPr/>
      </w:pPr>
      <w:r>
        <w:rPr>
          <w:rFonts w:ascii="Times New Roman;serif" w:hAnsi="Times New Roman;serif"/>
          <w:b/>
          <w:color w:val="000000"/>
          <w:sz w:val="22"/>
        </w:rPr>
        <w:t>(ii)</w:t>
      </w:r>
      <w:r>
        <w:rPr>
          <w:rFonts w:ascii="Times New Roman;serif" w:hAnsi="Times New Roman;serif"/>
          <w:b/>
          <w:color w:val="000000"/>
          <w:sz w:val="22"/>
        </w:rPr>
        <w:t>Good Reason</w:t>
      </w:r>
      <w:r>
        <w:rPr>
          <w:rFonts w:ascii="Times New Roman;serif" w:hAnsi="Times New Roman;serif"/>
          <w:b w:val="false"/>
          <w:color w:val="000000"/>
          <w:sz w:val="22"/>
        </w:rPr>
        <w:t>. For purposes of this Agreement, you shall have “</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 xml:space="preserve">for resigning from employment with the Company if any of the following actions are taken by the Company without your prior written consent: (i) a material reduction in your Base Salary, which the parties agree is a reduction of at least 10% of your Base Salary (unless pursuant to a salary reduction program applicable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2100"/>
                <wp:effectExtent l="0" t="0" r="0" b="0"/>
                <wp:wrapNone/>
                <wp:docPr id="79" name="Frame7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6 of 11</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generally to the Company’s similarly situated employees); (ii) a material reduction in your duties , provided, however, that a change in job position (including a change in title or reporting) shall not be deemed a “material reduction” in and of itself unless your new duties are materially reduced from the prior duties, and provided further that a change in your duties due to the Company becoming a division, subsidiary or other similar part of a larger organization shall not be deemed a “material reduction” in and of itself unless your new duties are materially reduced from the prior duties; or (iii) relocation of your principal place of employment to a place that increases your one-way commute by more than 50 miles as compared to your then-current principal place of employment immediately prior to such relocation. In order to resign for Good Reason, you must provide written notice to the CEO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pStyle w:val="TextBody"/>
        <w:bidi w:val="0"/>
        <w:spacing w:lineRule="auto" w:line="288" w:before="0" w:after="240"/>
        <w:ind w:left="0" w:right="0" w:firstLine="2160"/>
        <w:jc w:val="both"/>
        <w:rPr/>
      </w:pPr>
      <w:r>
        <w:rPr>
          <w:rFonts w:ascii="Times New Roman;serif" w:hAnsi="Times New Roman;serif"/>
          <w:b/>
          <w:color w:val="000000"/>
          <w:sz w:val="22"/>
        </w:rPr>
        <w:t>(iii)</w:t>
      </w:r>
      <w:r>
        <w:rPr>
          <w:rFonts w:ascii="Times New Roman;serif" w:hAnsi="Times New Roman;serif"/>
          <w:b/>
          <w:color w:val="000000"/>
          <w:sz w:val="22"/>
        </w:rPr>
        <w:t>Change of Control</w:t>
      </w:r>
      <w:r>
        <w:rPr>
          <w:rFonts w:ascii="Times New Roman;serif" w:hAnsi="Times New Roman;serif"/>
          <w:b w:val="false"/>
          <w:color w:val="000000"/>
          <w:sz w:val="22"/>
        </w:rPr>
        <w:t>. For purposes of this Agreement, “</w:t>
      </w:r>
      <w:r>
        <w:rPr>
          <w:rFonts w:ascii="Times New Roman;serif" w:hAnsi="Times New Roman;serif"/>
          <w:b/>
          <w:i/>
          <w:color w:val="000000"/>
          <w:sz w:val="22"/>
        </w:rPr>
        <w:t>Change of Control</w:t>
      </w:r>
      <w:r>
        <w:rPr>
          <w:color w:val="000000"/>
        </w:rPr>
        <w:t xml:space="preserve">” </w:t>
      </w:r>
      <w:r>
        <w:rPr>
          <w:rFonts w:ascii="Times New Roman;serif" w:hAnsi="Times New Roman;serif"/>
          <w:b w:val="false"/>
          <w:color w:val="000000"/>
          <w:sz w:val="22"/>
        </w:rPr>
        <w:t>shall mean: (i)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the foregoing shall not include any transaction or series of transactions principally for bona fide equity financing purposes in which cash is received by the Company or indebtedness of the Company is cancelled or converted or a combination thereof; or (iii) a sale, lease, exclusive license or other disposition of all or substantially all of the assets of the Company. Notwithstanding the foregoing, if a Change of Control constitutes a payment event with respect to any payment hereunder (or any portion thereof) that provides for the deferral of compensation that is subject to Section 409A, to the extent required to avoid the imposition of additional taxes under Section 409A, the transaction or event with respect to such payment (or portion thereof) shall only constitute a Change of Control for purposes of the payment timing of such payment if such transaction also constitutes a “change in control event,” as defined in Treasury Regulation Section 1.409A-3(i)(5).</w:t>
      </w:r>
    </w:p>
    <w:p>
      <w:pPr>
        <w:pStyle w:val="TextBody"/>
        <w:bidi w:val="0"/>
        <w:spacing w:lineRule="auto" w:line="288"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Compliance with Section 409A</w:t>
      </w:r>
      <w:r>
        <w:rPr>
          <w:rFonts w:ascii="Times New Roman;serif" w:hAnsi="Times New Roman;serif"/>
          <w:b w:val="false"/>
          <w:color w:val="000000"/>
          <w:sz w:val="22"/>
        </w:rPr>
        <w:t>. It is intended that the Severance and Accelerated Vesting set forth in this Agreement satisfy, to the greatest extent possible, the exemptions from the application of Section 409A of the Internal Revenue Code of 1986, as amended, (the “</w:t>
      </w:r>
      <w:r>
        <w:rPr>
          <w:rFonts w:ascii="Times New Roman;serif" w:hAnsi="Times New Roman;serif"/>
          <w:b/>
          <w:i/>
          <w:color w:val="000000"/>
          <w:sz w:val="22"/>
        </w:rPr>
        <w:t>Code</w:t>
      </w:r>
      <w:r>
        <w:rPr>
          <w:color w:val="000000"/>
        </w:rPr>
        <w:t>”</w:t>
      </w:r>
      <w:r>
        <w:rPr>
          <w:rFonts w:ascii="Times New Roman;serif" w:hAnsi="Times New Roman;serif"/>
          <w:b w:val="false"/>
          <w:color w:val="000000"/>
          <w:sz w:val="22"/>
        </w:rPr>
        <w:t>) (Section 409A, together with any state law of similar effect, “</w:t>
      </w:r>
      <w:r>
        <w:rPr>
          <w:rFonts w:ascii="Times New Roman;serif" w:hAnsi="Times New Roman;serif"/>
          <w:b/>
          <w:i/>
          <w:color w:val="000000"/>
          <w:sz w:val="22"/>
        </w:rPr>
        <w:t>Section 409A</w:t>
      </w:r>
      <w:r>
        <w:rPr>
          <w:color w:val="000000"/>
        </w:rPr>
        <w:t>”</w:t>
      </w:r>
      <w:r>
        <w:rPr>
          <w:rFonts w:ascii="Times New Roman;serif" w:hAnsi="Times New Roman;serif"/>
          <w:b w:val="false"/>
          <w:color w:val="000000"/>
          <w:sz w:val="22"/>
        </w:rPr>
        <w:t>) provided under Treasury Regulations 1.409A-1(b)(4), 1.409A-1(b)(5) and 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Severance or Accelerated Vesting constitute “deferred compensation” under Section 409A and you are, on the date of your Separation from Service, a “specified employee” of the Company or any successor entity thereto, as such term is defined in Section 409A(a)(2)(B)(i) of the Code (a “</w:t>
      </w:r>
      <w:r>
        <w:rPr>
          <w:rFonts w:ascii="Times New Roman;serif" w:hAnsi="Times New Roman;serif"/>
          <w:b/>
          <w:i/>
          <w:color w:val="000000"/>
          <w:sz w:val="22"/>
        </w:rPr>
        <w:t>Specified Employee</w:t>
      </w:r>
      <w:r>
        <w:rPr>
          <w:color w:val="000000"/>
        </w:rPr>
        <w:t>”</w:t>
      </w:r>
      <w:r>
        <w:rPr>
          <w:rFonts w:ascii="Times New Roman;serif" w:hAnsi="Times New Roman;serif"/>
          <w:b w:val="false"/>
          <w:color w:val="000000"/>
          <w:sz w:val="22"/>
        </w:rPr>
        <w:t xml:space="preserve">), then, solely to the extent necessary to avoid the incurrence of adverse personal tax consequences under Section 409A, the timing of the Severance and Accelerated Vesting shall be delayed until the earliest of: (i) the date that is six (6) months and one (1) day after your Separation from Service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2100"/>
                <wp:effectExtent l="0" t="0" r="0" b="0"/>
                <wp:wrapNone/>
                <wp:docPr id="80" name="Frame7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7 of 11</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Section shall be paid in a lump sum or provided in full by the Company (or the successor entity thereto, as applicable), and any remaining payments due shall be paid as otherwise provided herein. No interest shall be due on any amounts so deferred. If the Severance and Accelerated Vesting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Severance and Accelerated Vesting benefits are intended to qualify for an exemption from application of Section 409A or comply with its requirements to the extent necessary to avoid adverse personal tax consequences under Section 409A, and any ambiguities herein shall be interpreted accordingly.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pStyle w:val="TextBody"/>
        <w:bidi w:val="0"/>
        <w:spacing w:lineRule="auto" w:line="288"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Section 280G; Parachute Payments.</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Reduced Amount</w:t>
      </w:r>
      <w:r>
        <w:rPr>
          <w:rFonts w:ascii="Times New Roman;serif" w:hAnsi="Times New Roman;serif"/>
          <w:b w:val="false"/>
          <w:color w:val="000000"/>
          <w:sz w:val="22"/>
        </w:rPr>
        <w:t>. If any payment or benefit you will or may receive from the Company or otherwise (a “</w:t>
      </w:r>
      <w:r>
        <w:rPr>
          <w:rFonts w:ascii="Times New Roman;serif" w:hAnsi="Times New Roman;serif"/>
          <w:b/>
          <w:i/>
          <w:color w:val="000000"/>
          <w:sz w:val="22"/>
        </w:rPr>
        <w:t>280G Payment</w:t>
      </w:r>
      <w:r>
        <w:rPr>
          <w:color w:val="000000"/>
        </w:rPr>
        <w:t>”</w:t>
      </w:r>
      <w:r>
        <w:rPr>
          <w:rFonts w:ascii="Times New Roman;serif" w:hAnsi="Times New Roman;serif"/>
          <w:b w:val="false"/>
          <w:color w:val="000000"/>
          <w:sz w:val="22"/>
        </w:rPr>
        <w:t>) would (i) constitute a “parachute payment” within the meaning of Section 280G of the Code, and (ii) but for this sentence, be subject to the excise tax imposed by Section 4999 of the Code (the “</w:t>
      </w:r>
      <w:r>
        <w:rPr>
          <w:rFonts w:ascii="Times New Roman;serif" w:hAnsi="Times New Roman;serif"/>
          <w:b/>
          <w:i/>
          <w:color w:val="000000"/>
          <w:sz w:val="22"/>
        </w:rPr>
        <w:t>Excise Tax</w:t>
      </w:r>
      <w:r>
        <w:rPr>
          <w:color w:val="000000"/>
        </w:rPr>
        <w:t>”</w:t>
      </w:r>
      <w:r>
        <w:rPr>
          <w:rFonts w:ascii="Times New Roman;serif" w:hAnsi="Times New Roman;serif"/>
          <w:b w:val="false"/>
          <w:color w:val="000000"/>
          <w:sz w:val="22"/>
        </w:rPr>
        <w:t>), then any such 280G Payment provided pursuant to this Agreement (a “</w:t>
      </w:r>
      <w:r>
        <w:rPr>
          <w:rFonts w:ascii="Times New Roman;serif" w:hAnsi="Times New Roman;serif"/>
          <w:b/>
          <w:i/>
          <w:color w:val="000000"/>
          <w:sz w:val="22"/>
        </w:rPr>
        <w:t>Payment</w:t>
      </w:r>
      <w:r>
        <w:rPr>
          <w:color w:val="000000"/>
        </w:rPr>
        <w:t>”</w:t>
      </w:r>
      <w:r>
        <w:rPr>
          <w:rFonts w:ascii="Times New Roman;serif" w:hAnsi="Times New Roman;serif"/>
          <w:b w:val="false"/>
          <w:color w:val="000000"/>
          <w:sz w:val="22"/>
        </w:rPr>
        <w:t>) shall be equal to the Reduced Amount. The “</w:t>
      </w:r>
      <w:r>
        <w:rPr>
          <w:rFonts w:ascii="Times New Roman;serif" w:hAnsi="Times New Roman;serif"/>
          <w:b/>
          <w:i/>
          <w:color w:val="000000"/>
          <w:sz w:val="22"/>
        </w:rPr>
        <w:t>Reduced Amount</w:t>
      </w:r>
      <w:r>
        <w:rPr>
          <w:color w:val="000000"/>
        </w:rPr>
        <w:t xml:space="preserve">” </w:t>
      </w:r>
      <w:r>
        <w:rPr>
          <w:rFonts w:ascii="Times New Roman;serif" w:hAnsi="Times New Roman;serif"/>
          <w:b w:val="false"/>
          <w:color w:val="000000"/>
          <w:sz w:val="22"/>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i/>
          <w:color w:val="000000"/>
          <w:sz w:val="22"/>
        </w:rPr>
        <w:t>Reduction Method</w:t>
      </w:r>
      <w:r>
        <w:rPr>
          <w:color w:val="000000"/>
        </w:rPr>
        <w:t>”</w:t>
      </w:r>
      <w:r>
        <w:rPr>
          <w:rFonts w:ascii="Times New Roman;serif" w:hAnsi="Times New Roman;serif"/>
          <w:b w:val="false"/>
          <w:color w:val="000000"/>
          <w:sz w:val="22"/>
        </w:rPr>
        <w:t>) that results in the greatest economic benefit for you. If more than one method of reduction will result in the same economic benefit, the items so reduced will be reduced pro rata (the “</w:t>
      </w:r>
      <w:r>
        <w:rPr>
          <w:rFonts w:ascii="Times New Roman;serif" w:hAnsi="Times New Roman;serif"/>
          <w:b/>
          <w:i/>
          <w:color w:val="000000"/>
          <w:sz w:val="22"/>
        </w:rPr>
        <w:t>Pro Rata Reduction Method</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Section 409A</w:t>
      </w:r>
      <w:r>
        <w:rPr>
          <w:rFonts w:ascii="Times New Roman;serif" w:hAnsi="Times New Roman;serif"/>
          <w:b w:val="false"/>
          <w:color w:val="000000"/>
          <w:sz w:val="22"/>
        </w:rPr>
        <w:t>. 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2100"/>
                <wp:effectExtent l="0" t="0" r="0" b="0"/>
                <wp:wrapNone/>
                <wp:docPr id="81" name="Frame7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8 of 11</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Process</w:t>
      </w:r>
      <w:r>
        <w:rPr>
          <w:rFonts w:ascii="Times New Roman;serif" w:hAnsi="Times New Roman;serif"/>
          <w:b w:val="false"/>
          <w:color w:val="000000"/>
          <w:sz w:val="22"/>
        </w:rPr>
        <w:t>. 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7 (“</w:t>
      </w:r>
      <w:r>
        <w:rPr>
          <w:rFonts w:ascii="Times New Roman;serif" w:hAnsi="Times New Roman;serif"/>
          <w:b/>
          <w:i/>
          <w:color w:val="000000"/>
          <w:sz w:val="22"/>
        </w:rPr>
        <w:t>Section 280G; Parachute Payments</w:t>
      </w:r>
      <w:r>
        <w:rPr>
          <w:color w:val="000000"/>
        </w:rPr>
        <w:t>”</w:t>
      </w:r>
      <w:r>
        <w:rPr>
          <w:rFonts w:ascii="Times New Roman;serif" w:hAnsi="Times New Roman;serif"/>
          <w:b w:val="false"/>
          <w:color w:val="000000"/>
          <w:sz w:val="22"/>
        </w:rPr>
        <w:t>).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Payment Return</w:t>
      </w:r>
      <w:r>
        <w:rPr>
          <w:rFonts w:ascii="Times New Roman;serif" w:hAnsi="Times New Roman;serif"/>
          <w:b w:val="false"/>
          <w:color w:val="000000"/>
          <w:sz w:val="22"/>
        </w:rPr>
        <w:t>. If you receive a Payment for which the Reduced Amount was determined pursuant to clause (x) of Section 7(a) and the Internal Revenue Service determines thereafter that some portion of the Payment is subject to the Excise Tax, you agree to promptly return to the Company a sufficient amount of the Payment (after reduction pursuant to clause (x) of Section 7(a)) so that no portion of the remaining Payment is subject to the Excise Tax. For the avoidance of doubt, if the Reduced Amount was determined pursuant to clause (y) of Section 7(a), you shall have no obligation to return any portion of the Payment pursuant to the preceding sentence.</w:t>
      </w:r>
    </w:p>
    <w:p>
      <w:pPr>
        <w:pStyle w:val="TextBody"/>
        <w:bidi w:val="0"/>
        <w:spacing w:lineRule="auto" w:line="288"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Dispute Resolution</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color w:val="000000"/>
          <w:sz w:val="22"/>
        </w:rPr>
        <w:t>(a)</w:t>
      </w:r>
      <w:r>
        <w:rPr>
          <w:rFonts w:ascii="Times New Roman;serif" w:hAnsi="Times New Roman;serif"/>
          <w:b/>
          <w:color w:val="000000"/>
          <w:sz w:val="22"/>
        </w:rPr>
        <w:t>Arbitration Agreement</w:t>
      </w:r>
      <w:r>
        <w:rPr>
          <w:rFonts w:ascii="Times New Roman;serif" w:hAnsi="Times New Roman;serif"/>
          <w:b w:val="false"/>
          <w:color w:val="000000"/>
          <w:sz w:val="22"/>
        </w:rPr>
        <w:t>. 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Times New Roman;serif" w:hAnsi="Times New Roman;serif"/>
          <w:b/>
          <w:i/>
          <w:color w:val="000000"/>
          <w:sz w:val="22"/>
        </w:rPr>
        <w:t>JAMS</w:t>
      </w:r>
      <w:r>
        <w:rPr>
          <w:color w:val="000000"/>
        </w:rPr>
        <w:t>”</w:t>
      </w:r>
      <w:r>
        <w:rPr>
          <w:rFonts w:ascii="Times New Roman;serif" w:hAnsi="Times New Roman;serif"/>
          <w:b w:val="false"/>
          <w:color w:val="000000"/>
          <w:sz w:val="22"/>
        </w:rPr>
        <w:t xml:space="preserve">), under JAMS’ then applicable rules and procedures for employment disputes before a single arbitrator (available upon request and also currently available at </w:t>
      </w:r>
      <w:r>
        <w:rPr>
          <w:rFonts w:ascii="Times New Roman;serif" w:hAnsi="Times New Roman;serif"/>
          <w:b w:val="false"/>
          <w:color w:val="0000FF"/>
          <w:sz w:val="22"/>
          <w:u w:val="single"/>
        </w:rPr>
        <w:t>http://www.jamsadr.com/rules-employment-arbitration/</w:t>
      </w:r>
      <w:r>
        <w:rPr>
          <w:rFonts w:ascii="Times New Roman;serif" w:hAnsi="Times New Roman;serif"/>
          <w:b w:val="false"/>
          <w:color w:val="000000"/>
          <w:sz w:val="22"/>
        </w:rPr>
        <w:t xml:space="preserve">). </w:t>
      </w:r>
      <w:r>
        <w:rPr>
          <w:rFonts w:ascii="Times New Roman;serif" w:hAnsi="Times New Roman;serif"/>
          <w:b/>
          <w:color w:val="000000"/>
          <w:sz w:val="22"/>
        </w:rPr>
        <w:t>You acknowledge that by agreeing to this arbitration procedure, both you and the Company waive the right to resolve any such dispute through a trial by jury or judge or administrative proceeding</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color w:val="000000"/>
          <w:sz w:val="22"/>
        </w:rPr>
        <w:t>(b)</w:t>
      </w:r>
      <w:r>
        <w:rPr>
          <w:rFonts w:ascii="Times New Roman;serif" w:hAnsi="Times New Roman;serif"/>
          <w:b/>
          <w:color w:val="000000"/>
          <w:sz w:val="22"/>
        </w:rPr>
        <w:t>Individual Claims</w:t>
      </w:r>
      <w:r>
        <w:rPr>
          <w:rFonts w:ascii="Times New Roman;serif" w:hAnsi="Times New Roman;serif"/>
          <w:b w:val="false"/>
          <w:color w:val="000000"/>
          <w:sz w:val="22"/>
        </w:rPr>
        <w:t>.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Times New Roman;serif" w:hAnsi="Times New Roman;serif"/>
          <w:b/>
          <w:i/>
          <w:color w:val="000000"/>
          <w:sz w:val="22"/>
        </w:rPr>
        <w:t>Excluded Claims</w:t>
      </w:r>
      <w:r>
        <w:rPr>
          <w:color w:val="000000"/>
        </w:rPr>
        <w:t>”</w:t>
      </w:r>
      <w:r>
        <w:rPr>
          <w:rFonts w:ascii="Times New Roman;serif" w:hAnsi="Times New Roman;serif"/>
          <w:b w:val="false"/>
          <w:color w:val="000000"/>
          <w:sz w:val="22"/>
        </w:rPr>
        <w:t xml:space="preserve">). In the event you intend to bring multiple claims,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2100"/>
                <wp:effectExtent l="0" t="0" r="0" b="0"/>
                <wp:wrapNone/>
                <wp:docPr id="82" name="Frame7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9 of 11</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including one of the Excluded Claims listed above, the Excluded Claims may be publicly filed with a court, while any other claims will remain subject to mandatory arbitration. </w:t>
      </w:r>
    </w:p>
    <w:p>
      <w:pPr>
        <w:pStyle w:val="TextBody"/>
        <w:bidi w:val="0"/>
        <w:spacing w:lineRule="auto" w:line="288" w:before="0" w:after="240"/>
        <w:ind w:left="0" w:right="0" w:firstLine="1440"/>
        <w:jc w:val="both"/>
        <w:rPr/>
      </w:pPr>
      <w:r>
        <w:rPr>
          <w:rFonts w:ascii="Times New Roman;serif" w:hAnsi="Times New Roman;serif"/>
          <w:b/>
          <w:color w:val="000000"/>
          <w:sz w:val="22"/>
        </w:rPr>
        <w:t>(c)</w:t>
      </w:r>
      <w:r>
        <w:rPr>
          <w:rFonts w:ascii="Times New Roman;serif" w:hAnsi="Times New Roman;serif"/>
          <w:b/>
          <w:color w:val="000000"/>
          <w:sz w:val="22"/>
        </w:rPr>
        <w:t xml:space="preserve">Process. </w:t>
      </w:r>
      <w:r>
        <w:rPr>
          <w:rFonts w:ascii="Times New Roman;serif" w:hAnsi="Times New Roman;serif"/>
          <w:b w:val="false"/>
          <w:color w:val="000000"/>
          <w:sz w:val="22"/>
        </w:rPr>
        <w:t xml:space="preserve">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w:t>
      </w:r>
    </w:p>
    <w:p>
      <w:pPr>
        <w:pStyle w:val="TextBody"/>
        <w:bidi w:val="0"/>
        <w:spacing w:lineRule="auto" w:line="288" w:before="0" w:after="240"/>
        <w:ind w:left="0" w:right="0" w:firstLine="1440"/>
        <w:jc w:val="both"/>
        <w:rPr/>
      </w:pPr>
      <w:r>
        <w:rPr>
          <w:rFonts w:ascii="Times New Roman;serif" w:hAnsi="Times New Roman;serif"/>
          <w:b/>
          <w:color w:val="000000"/>
          <w:sz w:val="22"/>
        </w:rPr>
        <w:t>(d)</w:t>
      </w:r>
      <w:r>
        <w:rPr>
          <w:rFonts w:ascii="Times New Roman;serif" w:hAnsi="Times New Roman;serif"/>
          <w:b/>
          <w:color w:val="000000"/>
          <w:sz w:val="22"/>
        </w:rPr>
        <w:t>Injunctive Relief</w:t>
      </w:r>
      <w:r>
        <w:rPr>
          <w:rFonts w:ascii="Times New Roman;serif" w:hAnsi="Times New Roman;serif"/>
          <w:b w:val="false"/>
          <w:color w:val="000000"/>
          <w:sz w:val="22"/>
        </w:rPr>
        <w:t>.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lineRule="auto" w:line="288" w:before="0" w:after="240"/>
        <w:ind w:left="0" w:right="0" w:firstLine="720"/>
        <w:jc w:val="both"/>
        <w:rPr/>
      </w:pPr>
      <w:r>
        <w:rPr>
          <w:rFonts w:ascii="Times New Roman;serif" w:hAnsi="Times New Roman;serif"/>
          <w:b/>
          <w:color w:val="000000"/>
          <w:sz w:val="22"/>
        </w:rPr>
        <w:t>9.</w:t>
      </w:r>
      <w:r>
        <w:rPr>
          <w:rFonts w:ascii="Times New Roman;serif" w:hAnsi="Times New Roman;serif"/>
          <w:b/>
          <w:color w:val="000000"/>
          <w:sz w:val="22"/>
        </w:rPr>
        <w:t>Miscellaneous</w:t>
      </w:r>
      <w:r>
        <w:rPr>
          <w:rFonts w:ascii="Times New Roman;serif" w:hAnsi="Times New Roman;serif"/>
          <w:b w:val="false"/>
          <w:color w:val="000000"/>
          <w:sz w:val="22"/>
        </w:rPr>
        <w:t>. This Agreement, together with your Confidentiality Agreement and any documents referenced herein, forms the complete and exclusive statement of your employment agreement with the Company. It supersedes any other agreements (or promises made to you by anyone, whether oral or written.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2100"/>
                <wp:effectExtent l="0" t="0" r="0" b="0"/>
                <wp:wrapNone/>
                <wp:docPr id="83" name="Frame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10 of 11</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Please sign and date this Agreement and return them to me if you wish to accept employment at the Company under the terms described above. I would be happy to discuss any questions that you may have about these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Raj Talluri                        7/8/2026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Raj Talluri</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CEO, Enovix</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Reviewed, Understood, and Accepted: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Michael Vyvoda                    7/5/2026</w:t>
      </w:r>
    </w:p>
    <w:p>
      <w:pPr>
        <w:pStyle w:val="TextBody"/>
        <w:bidi w:val="0"/>
        <w:spacing w:lineRule="auto" w:line="288" w:before="0" w:after="0"/>
        <w:jc w:val="both"/>
        <w:rPr/>
      </w:pPr>
      <w:r>
        <w:rPr>
          <w:color w:val="000000"/>
          <w:u w:val="single"/>
        </w:rPr>
        <w:t>                        </w:t>
      </w:r>
      <w:r>
        <w:rPr>
          <w:color w:val="000000"/>
        </w:rPr>
        <w:t>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Michael Vyvoda                      Date</w:t>
      </w:r>
    </w:p>
    <w:p>
      <w:pPr>
        <w:pStyle w:val="TextBody"/>
        <w:bidi w:val="0"/>
        <w:spacing w:before="0" w:after="0"/>
        <w:jc w:val="both"/>
        <w:rPr/>
      </w:pPr>
      <w:r>
        <w:rPr/>
      </w:r>
    </w:p>
    <w:p>
      <w:pPr>
        <w:pStyle w:val="TextBody"/>
        <w:bidi w:val="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Letter to Michael Vyvoda</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2100"/>
                <wp:effectExtent l="0" t="0" r="0" b="0"/>
                <wp:wrapNone/>
                <wp:docPr id="84" name="Frame8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Page 11 of 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6"/>
        <w:gridCol w:w="1054"/>
        <w:gridCol w:w="1066"/>
        <w:gridCol w:w="512"/>
        <w:gridCol w:w="512"/>
        <w:gridCol w:w="514"/>
        <w:gridCol w:w="645"/>
        <w:gridCol w:w="645"/>
        <w:gridCol w:w="647"/>
        <w:gridCol w:w="412"/>
        <w:gridCol w:w="412"/>
        <w:gridCol w:w="414"/>
        <w:gridCol w:w="632"/>
        <w:gridCol w:w="632"/>
        <w:gridCol w:w="902"/>
      </w:tblGrid>
      <w:tr>
        <w:trPr/>
        <w:tc>
          <w:tcPr>
            <w:tcW w:w="120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Title</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Severance Multiplier</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5(b)(i))</w:t>
            </w:r>
          </w:p>
        </w:tc>
        <w:tc>
          <w:tcPr>
            <w:tcW w:w="19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COBRA Months (Section 5(b)(ii))</w:t>
            </w:r>
          </w:p>
        </w:tc>
        <w:tc>
          <w:tcPr>
            <w:tcW w:w="12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Vesting Months</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5(b)(iv))</w:t>
            </w:r>
          </w:p>
        </w:tc>
        <w:tc>
          <w:tcPr>
            <w:tcW w:w="21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Double-Trigger Percentage</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5(c))</w:t>
            </w:r>
          </w:p>
        </w:tc>
      </w:tr>
      <w:tr>
        <w:trPr/>
        <w:tc>
          <w:tcPr>
            <w:tcW w:w="332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Chief Executive Officer</w:t>
            </w:r>
          </w:p>
        </w:tc>
        <w:tc>
          <w:tcPr>
            <w:tcW w:w="15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19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w:t>
            </w:r>
          </w:p>
        </w:tc>
        <w:tc>
          <w:tcPr>
            <w:tcW w:w="12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w:t>
            </w:r>
          </w:p>
        </w:tc>
        <w:tc>
          <w:tcPr>
            <w:tcW w:w="216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332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Chief Operating Officer, Chief Financial Officer, Chief Legal Officer</w:t>
            </w:r>
          </w:p>
        </w:tc>
        <w:tc>
          <w:tcPr>
            <w:tcW w:w="15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193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c>
        <w:tc>
          <w:tcPr>
            <w:tcW w:w="12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c>
        <w:tc>
          <w:tcPr>
            <w:tcW w:w="216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2100"/>
                <wp:effectExtent l="0" t="0" r="0" b="0"/>
                <wp:wrapNone/>
                <wp:docPr id="85" name="Frame8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Raj Talluri,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Enovix Corporation;</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6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6"/>
        <w:gridCol w:w="936"/>
        <w:gridCol w:w="133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Raj Talluri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Raj Talluri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Ryan Benton,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Enovix Corporation;</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6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554"/>
        <w:gridCol w:w="1554"/>
        <w:gridCol w:w="22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Ryan Benton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Ryan Benton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14"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In connection with the Quarterly Report of Enovix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on Form 10-Q for the quarterly period ended July 5,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Raj Talluri, President and Chief Executive Officer of the Company,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to which this Certification is attached as Exhibit 32.1, fully complies with the requirements of Section 13(a) or Section 15(d) of the Securities Exchange Act of 1934, as amended;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203" w:type="dxa"/>
        <w:jc w:val="left"/>
        <w:tblInd w:w="0" w:type="dxa"/>
        <w:tblLayout w:type="fixed"/>
        <w:tblCellMar>
          <w:top w:w="28" w:type="dxa"/>
          <w:left w:w="28" w:type="dxa"/>
          <w:bottom w:w="28" w:type="dxa"/>
          <w:right w:w="28" w:type="dxa"/>
        </w:tblCellMar>
      </w:tblPr>
      <w:tblGrid>
        <w:gridCol w:w="707"/>
        <w:gridCol w:w="621"/>
        <w:gridCol w:w="621"/>
        <w:gridCol w:w="949"/>
        <w:gridCol w:w="949"/>
        <w:gridCol w:w="1356"/>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Raj Talluri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Raj Talluri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312" w:before="14"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312" w:before="14"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
        </w:rPr>
      </w:pPr>
      <w:r>
        <w:rPr>
          <w:rFonts w:ascii="Times New Roman;serif" w:hAnsi="Times New Roman;serif"/>
          <w:b w:val="false"/>
          <w:color w:val="000000"/>
          <w:sz w:val="2"/>
        </w:rPr>
        <w:t>.</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connection with the Quarterly Report of Enovix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on Form 10-Q for the quarterly period ended July 5, 2026,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Ryan Benton, Chief Financial Officer of the Company,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to which this Certification is attached as Exhibit 32.2, fully complies with the requirements of Section 13(a) or Section 15(d) of the Securities Exchange Act of 1934, as amended;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260" w:type="dxa"/>
        <w:jc w:val="left"/>
        <w:tblInd w:w="0" w:type="dxa"/>
        <w:tblLayout w:type="fixed"/>
        <w:tblCellMar>
          <w:top w:w="28" w:type="dxa"/>
          <w:left w:w="28" w:type="dxa"/>
          <w:bottom w:w="28" w:type="dxa"/>
          <w:right w:w="28" w:type="dxa"/>
        </w:tblCellMar>
      </w:tblPr>
      <w:tblGrid>
        <w:gridCol w:w="705"/>
        <w:gridCol w:w="621"/>
        <w:gridCol w:w="624"/>
        <w:gridCol w:w="1554"/>
        <w:gridCol w:w="1554"/>
        <w:gridCol w:w="22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both"/>
              <w:rPr>
                <w:rFonts w:ascii="Times New Roman;serif" w:hAnsi="Times New Roman;serif"/>
                <w:b w:val="false"/>
                <w:color w:val="000000"/>
                <w:sz w:val="20"/>
              </w:rPr>
            </w:pPr>
            <w:r>
              <w:rPr>
                <w:rFonts w:ascii="Times New Roman;serif" w:hAnsi="Times New Roman;serif"/>
                <w:b w:val="false"/>
                <w:color w:val="000000"/>
                <w:sz w:val="20"/>
              </w:rPr>
              <w:t>/s/ Ryan Benton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Benton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14" w:after="283"/>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318/000119312521218701/d49082dex31.htm" TargetMode="External"/><Relationship Id="rId3" Type="http://schemas.openxmlformats.org/officeDocument/2006/relationships/hyperlink" Target="https://www.sec.gov/Archives/edgar/data/1828318/000119312521218701/d49082dex32.htm" TargetMode="External"/><Relationship Id="rId4" Type="http://schemas.openxmlformats.org/officeDocument/2006/relationships/hyperlink" Target="https://www.sec.gov/Archives/edgar/data/1828318/000162828023012433/envx-q220230421ex041and042.htm" TargetMode="External"/><Relationship Id="rId5" Type="http://schemas.openxmlformats.org/officeDocument/2006/relationships/hyperlink" Target="https://www.sec.gov/Archives/edgar/data/1828318/000162828023012433/envx-q220230421ex041and042.htm" TargetMode="External"/><Relationship Id="rId6" Type="http://schemas.openxmlformats.org/officeDocument/2006/relationships/hyperlink" Target="https://www.sec.gov/Archives/edgar/data/1828318/000182831825000300/envxxq3x91525exh41xindentu.htm" TargetMode="External"/><Relationship Id="rId7" Type="http://schemas.openxmlformats.org/officeDocument/2006/relationships/hyperlink" Target="https://www.sec.gov/Archives/edgar/data/1828318/000182831825000300/envxxq3x91525exh41xindentu.htm" TargetMode="Externa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47949</Words>
  <Characters>267776</Characters>
  <CharactersWithSpaces>314111</CharactersWithSpaces>
  <Paragraphs>2976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