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6" w:lineRule="exact"/>
        <w:rPr>
          <w:sz w:val="24"/>
          <w:szCs w:val="24"/>
          <w:color w:val="auto"/>
        </w:rPr>
      </w:pPr>
    </w:p>
    <w:tbl>
      <w:tblPr>
        <w:tblLayout w:type="fixed"/>
        <w:tblInd w:w="20" w:type="dxa"/>
        <w:tblCellMar>
          <w:top w:w="0" w:type="dxa"/>
          <w:left w:w="0" w:type="dxa"/>
          <w:bottom w:w="0" w:type="dxa"/>
          <w:right w:w="0" w:type="dxa"/>
        </w:tblCellMar>
      </w:tblPr>
      <w:tr>
        <w:trPr>
          <w:trHeight w:val="334"/>
        </w:trPr>
        <w:tc>
          <w:tcPr>
            <w:tcW w:w="3340" w:type="dxa"/>
            <w:vAlign w:val="bottom"/>
          </w:tcPr>
          <w:p>
            <w:pPr>
              <w:spacing w:after="0"/>
              <w:rPr>
                <w:sz w:val="24"/>
                <w:szCs w:val="24"/>
                <w:color w:val="auto"/>
              </w:rPr>
            </w:pPr>
          </w:p>
        </w:tc>
        <w:tc>
          <w:tcPr>
            <w:tcW w:w="4160" w:type="dxa"/>
            <w:vAlign w:val="bottom"/>
          </w:tcPr>
          <w:p>
            <w:pPr>
              <w:jc w:val="center"/>
              <w:ind w:left="264"/>
              <w:spacing w:after="0"/>
              <w:rPr>
                <w:sz w:val="20"/>
                <w:szCs w:val="20"/>
                <w:color w:val="auto"/>
              </w:rPr>
            </w:pPr>
            <w:r>
              <w:rPr>
                <w:rFonts w:ascii="Times New Roman" w:cs="Times New Roman" w:eastAsia="Times New Roman" w:hAnsi="Times New Roman"/>
                <w:sz w:val="25"/>
                <w:szCs w:val="25"/>
                <w:b w:val="1"/>
                <w:bCs w:val="1"/>
                <w:color w:val="auto"/>
              </w:rPr>
              <w:t>SCHEDULE 14A INFORMATION</w:t>
            </w:r>
          </w:p>
        </w:tc>
      </w:tr>
      <w:tr>
        <w:trPr>
          <w:trHeight w:val="523"/>
        </w:trPr>
        <w:tc>
          <w:tcPr>
            <w:tcW w:w="3340" w:type="dxa"/>
            <w:vAlign w:val="bottom"/>
          </w:tcPr>
          <w:p>
            <w:pPr>
              <w:spacing w:after="0"/>
              <w:rPr>
                <w:sz w:val="24"/>
                <w:szCs w:val="24"/>
                <w:color w:val="auto"/>
              </w:rPr>
            </w:pPr>
          </w:p>
        </w:tc>
        <w:tc>
          <w:tcPr>
            <w:tcW w:w="4160" w:type="dxa"/>
            <w:vAlign w:val="bottom"/>
          </w:tcPr>
          <w:p>
            <w:pPr>
              <w:jc w:val="center"/>
              <w:ind w:left="264"/>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tc>
      </w:tr>
      <w:tr>
        <w:trPr>
          <w:trHeight w:val="216"/>
        </w:trPr>
        <w:tc>
          <w:tcPr>
            <w:tcW w:w="3340" w:type="dxa"/>
            <w:vAlign w:val="bottom"/>
          </w:tcPr>
          <w:p>
            <w:pPr>
              <w:spacing w:after="0"/>
              <w:rPr>
                <w:sz w:val="18"/>
                <w:szCs w:val="18"/>
                <w:color w:val="auto"/>
              </w:rPr>
            </w:pPr>
          </w:p>
        </w:tc>
        <w:tc>
          <w:tcPr>
            <w:tcW w:w="4160" w:type="dxa"/>
            <w:vAlign w:val="bottom"/>
          </w:tcPr>
          <w:p>
            <w:pPr>
              <w:jc w:val="center"/>
              <w:ind w:left="284"/>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238"/>
        </w:trPr>
        <w:tc>
          <w:tcPr>
            <w:tcW w:w="3340" w:type="dxa"/>
            <w:vAlign w:val="bottom"/>
          </w:tcPr>
          <w:p>
            <w:pPr>
              <w:spacing w:after="0"/>
              <w:rPr>
                <w:sz w:val="20"/>
                <w:szCs w:val="20"/>
                <w:color w:val="auto"/>
              </w:rPr>
            </w:pPr>
          </w:p>
        </w:tc>
        <w:tc>
          <w:tcPr>
            <w:tcW w:w="4160" w:type="dxa"/>
            <w:vAlign w:val="bottom"/>
          </w:tcPr>
          <w:p>
            <w:pPr>
              <w:jc w:val="center"/>
              <w:ind w:left="264"/>
              <w:spacing w:after="0"/>
              <w:rPr>
                <w:sz w:val="20"/>
                <w:szCs w:val="20"/>
                <w:color w:val="auto"/>
              </w:rPr>
            </w:pPr>
            <w:r>
              <w:rPr>
                <w:rFonts w:ascii="Times New Roman" w:cs="Times New Roman" w:eastAsia="Times New Roman" w:hAnsi="Times New Roman"/>
                <w:sz w:val="18"/>
                <w:szCs w:val="18"/>
                <w:b w:val="1"/>
                <w:bCs w:val="1"/>
                <w:color w:val="auto"/>
                <w:w w:val="94"/>
              </w:rPr>
              <w:t>(Amendment No.   )</w:t>
            </w:r>
          </w:p>
        </w:tc>
      </w:tr>
      <w:tr>
        <w:trPr>
          <w:trHeight w:val="36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Filed by the Registrant</w:t>
            </w:r>
          </w:p>
        </w:tc>
        <w:tc>
          <w:tcPr>
            <w:tcW w:w="41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r>
      <w:tr>
        <w:trPr>
          <w:trHeight w:val="3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tc>
        <w:tc>
          <w:tcPr>
            <w:tcW w:w="41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26" w:lineRule="exact"/>
        <w:rPr>
          <w:sz w:val="24"/>
          <w:szCs w:val="24"/>
          <w:color w:val="auto"/>
        </w:rPr>
      </w:pPr>
    </w:p>
    <w:p>
      <w:pPr>
        <w:ind w:left="620" w:hanging="590"/>
        <w:spacing w:after="0"/>
        <w:tabs>
          <w:tab w:leader="none" w:pos="62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Preliminary Proxy Statement</w:t>
      </w:r>
    </w:p>
    <w:p>
      <w:pPr>
        <w:spacing w:after="0" w:line="150" w:lineRule="exact"/>
        <w:rPr>
          <w:rFonts w:ascii="MS PGothic" w:cs="MS PGothic" w:eastAsia="MS PGothic" w:hAnsi="MS PGothic"/>
          <w:sz w:val="36"/>
          <w:szCs w:val="36"/>
          <w:color w:val="auto"/>
          <w:vertAlign w:val="superscript"/>
        </w:rPr>
      </w:pPr>
    </w:p>
    <w:p>
      <w:pPr>
        <w:ind w:left="620" w:hanging="590"/>
        <w:spacing w:after="0" w:line="183" w:lineRule="auto"/>
        <w:tabs>
          <w:tab w:leader="none" w:pos="620" w:val="left"/>
        </w:tabs>
        <w:numPr>
          <w:ilvl w:val="0"/>
          <w:numId w:val="1"/>
        </w:numPr>
        <w:rPr>
          <w:rFonts w:ascii="MS PGothic" w:cs="MS PGothic" w:eastAsia="MS PGothic" w:hAnsi="MS PGothic"/>
          <w:sz w:val="28"/>
          <w:szCs w:val="28"/>
          <w:color w:val="auto"/>
          <w:vertAlign w:val="superscript"/>
        </w:rPr>
      </w:pPr>
      <w:r>
        <w:rPr>
          <w:rFonts w:ascii="Times New Roman" w:cs="Times New Roman" w:eastAsia="Times New Roman" w:hAnsi="Times New Roman"/>
          <w:sz w:val="15"/>
          <w:szCs w:val="15"/>
          <w:color w:val="auto"/>
        </w:rPr>
        <w:t>Confidential, for Use of the Commission Only (as permitted by Rule 14a-6(e)(2))</w:t>
      </w:r>
    </w:p>
    <w:p>
      <w:pPr>
        <w:spacing w:after="0" w:line="150" w:lineRule="exact"/>
        <w:rPr>
          <w:rFonts w:ascii="MS PGothic" w:cs="MS PGothic" w:eastAsia="MS PGothic" w:hAnsi="MS PGothic"/>
          <w:sz w:val="28"/>
          <w:szCs w:val="28"/>
          <w:color w:val="auto"/>
          <w:vertAlign w:val="superscript"/>
        </w:rPr>
      </w:pPr>
    </w:p>
    <w:p>
      <w:pPr>
        <w:ind w:left="620" w:hanging="590"/>
        <w:spacing w:after="0" w:line="183" w:lineRule="auto"/>
        <w:tabs>
          <w:tab w:leader="none" w:pos="620" w:val="left"/>
        </w:tabs>
        <w:numPr>
          <w:ilvl w:val="0"/>
          <w:numId w:val="1"/>
        </w:numPr>
        <w:rPr>
          <w:rFonts w:ascii="MS PGothic" w:cs="MS PGothic" w:eastAsia="MS PGothic" w:hAnsi="MS PGothic"/>
          <w:sz w:val="28"/>
          <w:szCs w:val="28"/>
          <w:color w:val="auto"/>
          <w:vertAlign w:val="superscript"/>
        </w:rPr>
      </w:pPr>
      <w:r>
        <w:rPr>
          <w:rFonts w:ascii="Times New Roman" w:cs="Times New Roman" w:eastAsia="Times New Roman" w:hAnsi="Times New Roman"/>
          <w:sz w:val="15"/>
          <w:szCs w:val="15"/>
          <w:color w:val="auto"/>
        </w:rPr>
        <w:t>Definitive Proxy Statement</w:t>
      </w:r>
    </w:p>
    <w:p>
      <w:pPr>
        <w:spacing w:after="0" w:line="5" w:lineRule="exact"/>
        <w:rPr>
          <w:sz w:val="24"/>
          <w:szCs w:val="24"/>
          <w:color w:val="auto"/>
        </w:rPr>
      </w:pPr>
    </w:p>
    <w:p>
      <w:pPr>
        <w:ind w:left="620" w:hanging="590"/>
        <w:spacing w:after="0"/>
        <w:tabs>
          <w:tab w:leader="none" w:pos="620" w:val="left"/>
        </w:tabs>
        <w:numPr>
          <w:ilvl w:val="0"/>
          <w:numId w:val="2"/>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Definitive Additional Materials</w:t>
      </w:r>
    </w:p>
    <w:p>
      <w:pPr>
        <w:spacing w:after="0" w:line="4" w:lineRule="exact"/>
        <w:rPr>
          <w:sz w:val="24"/>
          <w:szCs w:val="24"/>
          <w:color w:val="auto"/>
        </w:rPr>
      </w:pPr>
    </w:p>
    <w:p>
      <w:pPr>
        <w:ind w:left="620" w:hanging="590"/>
        <w:spacing w:after="0"/>
        <w:tabs>
          <w:tab w:leader="none" w:pos="620" w:val="left"/>
        </w:tabs>
        <w:numPr>
          <w:ilvl w:val="0"/>
          <w:numId w:val="3"/>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Soliciting Material Pursuant to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3159760</wp:posOffset>
            </wp:positionH>
            <wp:positionV relativeFrom="paragraph">
              <wp:posOffset>128270</wp:posOffset>
            </wp:positionV>
            <wp:extent cx="82296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2960" cy="1714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9"/>
          <w:szCs w:val="29"/>
          <w:b w:val="1"/>
          <w:bCs w:val="1"/>
          <w:color w:val="auto"/>
        </w:rPr>
        <w:t>ENOVIX CORPORATION</w:t>
      </w:r>
    </w:p>
    <w:p>
      <w:pPr>
        <w:spacing w:after="0" w:line="64"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31" w:lineRule="exact"/>
        <w:rPr>
          <w:sz w:val="24"/>
          <w:szCs w:val="24"/>
          <w:color w:val="auto"/>
        </w:rPr>
      </w:pPr>
    </w:p>
    <w:p>
      <w:pPr>
        <w:ind w:left="620" w:hanging="594"/>
        <w:spacing w:after="0"/>
        <w:tabs>
          <w:tab w:leader="none" w:pos="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rFonts w:ascii="MS PGothic" w:cs="MS PGothic" w:eastAsia="MS PGothic" w:hAnsi="MS PGothic"/>
          <w:sz w:val="18"/>
          <w:szCs w:val="18"/>
          <w:color w:val="auto"/>
        </w:rPr>
      </w:pPr>
    </w:p>
    <w:p>
      <w:pPr>
        <w:ind w:left="620" w:hanging="590"/>
        <w:spacing w:after="0" w:line="224" w:lineRule="auto"/>
        <w:tabs>
          <w:tab w:leader="none" w:pos="620" w:val="left"/>
        </w:tabs>
        <w:numPr>
          <w:ilvl w:val="1"/>
          <w:numId w:val="4"/>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Fee paid previously with preliminary materials</w:t>
      </w:r>
    </w:p>
    <w:p>
      <w:pPr>
        <w:spacing w:after="0" w:line="150" w:lineRule="exact"/>
        <w:rPr>
          <w:rFonts w:ascii="MS PGothic" w:cs="MS PGothic" w:eastAsia="MS PGothic" w:hAnsi="MS PGothic"/>
          <w:sz w:val="36"/>
          <w:szCs w:val="36"/>
          <w:color w:val="auto"/>
          <w:vertAlign w:val="superscript"/>
        </w:rPr>
      </w:pPr>
    </w:p>
    <w:p>
      <w:pPr>
        <w:ind w:left="620" w:hanging="590"/>
        <w:spacing w:after="0" w:line="183" w:lineRule="auto"/>
        <w:tabs>
          <w:tab w:leader="none" w:pos="620" w:val="left"/>
        </w:tabs>
        <w:numPr>
          <w:ilvl w:val="1"/>
          <w:numId w:val="4"/>
        </w:numPr>
        <w:rPr>
          <w:rFonts w:ascii="MS PGothic" w:cs="MS PGothic" w:eastAsia="MS PGothic" w:hAnsi="MS PGothic"/>
          <w:sz w:val="28"/>
          <w:szCs w:val="28"/>
          <w:color w:val="auto"/>
          <w:vertAlign w:val="superscript"/>
        </w:rPr>
      </w:pPr>
      <w:r>
        <w:rPr>
          <w:rFonts w:ascii="Times New Roman" w:cs="Times New Roman" w:eastAsia="Times New Roman" w:hAnsi="Times New Roman"/>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1449070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1423670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On June 10, 2026, Enovix Corporation (“Enovix”) posted the following message on its LinkedIn, Facebook, X and Instagram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5349240" cy="2794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w:t>
      </w:r>
    </w:p>
    <w:p>
      <w:pPr>
        <w:spacing w:after="0" w:line="2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Enovix has filed a definitive proxy statement with the SEC in connection with its 2026 Annual Meeting of Stockholders. Stockholders are encouraged to read the proxy statement and other relevant materials filed with the SEC because they contain important information.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Investors may obtain these materials free of charge at www.sec.gov and through Enovix’s investor relations website at: ir.enovix.com.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communication contains “forward-looking statements” within the meaning of the Private Securities Litigation Reform Act of 1995. Enovix cautions readers that forward-looking statements are predictions based on Enovix’s current expectations about future events. All statements other than statements of historical or current facts, are forward-looking statements. These forward-looking statements, and the assumptions underlying such statements, involve a number of risks, uncertainties, some of which are beyond our control.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Accordingly, you should not rely on any of the forward-looking statements. For additional information on these risks and uncertainties and other potential factors that could cause actual results to differ from the results predicted, please refer to our filings with the SEC, including in the “Risk Factors” and “Management’s Discussion and Analysis of Financial Condition and Results of Operations” sections of our annual report on Form 10-K and quarterly reports on Form 10-Q and other documents that we have filed, or will file, with the SEC. Forward-looking statements speak only as of the date made, and we undertake no obligation to revise or update them, whether as a result of new information, future events or otherwise.</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2026-06-10T15:33:26Z</dcterms:created>
  <dcterms:modified xsi:type="dcterms:W3CDTF">2026-06-10T15:33:26Z</dcterms:modified>
</cp:coreProperties>
</file>