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48675.xml.htm"/>
      <w:bookmarkStart w:id="1" w:name="kswkform4_17912486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Truong Kristina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 WARREN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2.78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305,275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2.78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300,880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190,552 shares issuable upon the vesting and settlement of RSUs granted to the Reporting Person, as well as the following vested performance RSUs ("PRSUs"): (i) 2,489 PRSUs, which will be released to the Reporting Person in March 2027, and (ii) an aggregate of 35,278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182,252 shares issuable upon the vesting and settlement of RSUs granted to the Reporting Person, as well as the Earned PRSUs.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Kristina Truong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363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715</Words>
  <Characters>3871</Characters>
  <CharactersWithSpaces>4508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