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85725</wp:posOffset>
            </wp:positionV>
            <wp:extent cx="20828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87630</wp:posOffset>
            </wp:positionV>
            <wp:extent cx="20828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12529"/>
        </w:rPr>
        <w:t>CURRENT REPORT</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12529"/>
        </w:rPr>
        <w:t>Pursuant to Section 13 or 15(d) of the Securities Exchange Act of 1934</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3348355</wp:posOffset>
            </wp:positionH>
            <wp:positionV relativeFrom="paragraph">
              <wp:posOffset>131445</wp:posOffset>
            </wp:positionV>
            <wp:extent cx="445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212529"/>
        </w:rPr>
        <w:t>Enovix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3194050</wp:posOffset>
            </wp:positionH>
            <wp:positionV relativeFrom="paragraph">
              <wp:posOffset>78740</wp:posOffset>
            </wp:positionV>
            <wp:extent cx="75438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54380" cy="16319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12529"/>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61595</wp:posOffset>
            </wp:positionV>
            <wp:extent cx="208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36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80" w:type="dxa"/>
            <w:vAlign w:val="bottom"/>
            <w:tcBorders>
              <w:bottom w:val="single" w:sz="8" w:color="auto"/>
            </w:tcBorders>
          </w:tcPr>
          <w:p>
            <w:pPr>
              <w:spacing w:after="0"/>
              <w:rPr>
                <w:sz w:val="21"/>
                <w:szCs w:val="21"/>
                <w:color w:val="auto"/>
              </w:rPr>
            </w:pPr>
          </w:p>
        </w:tc>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0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001-39753</w:t>
            </w:r>
          </w:p>
        </w:tc>
        <w:tc>
          <w:tcPr>
            <w:tcW w:w="100" w:type="dxa"/>
            <w:vAlign w:val="bottom"/>
          </w:tcPr>
          <w:p>
            <w:pPr>
              <w:spacing w:after="0"/>
              <w:rPr>
                <w:sz w:val="21"/>
                <w:szCs w:val="21"/>
                <w:color w:val="auto"/>
              </w:rPr>
            </w:pPr>
          </w:p>
        </w:tc>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85-3174357</w:t>
            </w:r>
          </w:p>
        </w:tc>
        <w:tc>
          <w:tcPr>
            <w:tcW w:w="80" w:type="dxa"/>
            <w:vAlign w:val="bottom"/>
            <w:tcBorders>
              <w:bottom w:val="single" w:sz="8" w:color="auto"/>
            </w:tcBorders>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46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2560" w:type="dxa"/>
            <w:vAlign w:val="bottom"/>
            <w:gridSpan w:val="4"/>
          </w:tcPr>
          <w:p>
            <w:pPr>
              <w:jc w:val="center"/>
              <w:ind w:right="720"/>
              <w:spacing w:after="0"/>
              <w:rPr>
                <w:sz w:val="20"/>
                <w:szCs w:val="20"/>
                <w:color w:val="auto"/>
              </w:rPr>
            </w:pPr>
            <w:r>
              <w:rPr>
                <w:rFonts w:ascii="Times New Roman" w:cs="Times New Roman" w:eastAsia="Times New Roman" w:hAnsi="Times New Roman"/>
                <w:sz w:val="18"/>
                <w:szCs w:val="18"/>
                <w:color w:val="auto"/>
                <w:w w:val="98"/>
              </w:rPr>
              <w:t>(Commission</w:t>
            </w:r>
          </w:p>
        </w:tc>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80" w:type="dxa"/>
            <w:vAlign w:val="bottom"/>
          </w:tcPr>
          <w:p>
            <w:pPr>
              <w:spacing w:after="0"/>
              <w:rPr>
                <w:sz w:val="20"/>
                <w:szCs w:val="20"/>
                <w:color w:val="auto"/>
              </w:rPr>
            </w:pPr>
          </w:p>
        </w:tc>
        <w:tc>
          <w:tcPr>
            <w:tcW w:w="46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2560" w:type="dxa"/>
            <w:vAlign w:val="bottom"/>
            <w:gridSpan w:val="4"/>
          </w:tcPr>
          <w:p>
            <w:pPr>
              <w:jc w:val="center"/>
              <w:ind w:right="720"/>
              <w:spacing w:after="0"/>
              <w:rPr>
                <w:sz w:val="20"/>
                <w:szCs w:val="20"/>
                <w:color w:val="auto"/>
              </w:rPr>
            </w:pPr>
            <w:r>
              <w:rPr>
                <w:rFonts w:ascii="Times New Roman" w:cs="Times New Roman" w:eastAsia="Times New Roman" w:hAnsi="Times New Roman"/>
                <w:sz w:val="18"/>
                <w:szCs w:val="18"/>
                <w:color w:val="auto"/>
                <w:w w:val="98"/>
              </w:rPr>
              <w:t>File Number)</w:t>
            </w:r>
          </w:p>
        </w:tc>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3"/>
        </w:trPr>
        <w:tc>
          <w:tcPr>
            <w:tcW w:w="80" w:type="dxa"/>
            <w:vAlign w:val="bottom"/>
          </w:tcPr>
          <w:p>
            <w:pPr>
              <w:spacing w:after="0"/>
              <w:rPr>
                <w:sz w:val="24"/>
                <w:szCs w:val="24"/>
                <w:color w:val="auto"/>
              </w:rPr>
            </w:pPr>
          </w:p>
        </w:tc>
        <w:tc>
          <w:tcPr>
            <w:tcW w:w="462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3501 W Warren Avenue</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9"/>
        </w:trPr>
        <w:tc>
          <w:tcPr>
            <w:tcW w:w="80" w:type="dxa"/>
            <w:vAlign w:val="bottom"/>
          </w:tcPr>
          <w:p>
            <w:pPr>
              <w:spacing w:after="0"/>
              <w:rPr>
                <w:sz w:val="22"/>
                <w:szCs w:val="22"/>
                <w:color w:val="auto"/>
              </w:rPr>
            </w:pPr>
          </w:p>
        </w:tc>
        <w:tc>
          <w:tcPr>
            <w:tcW w:w="462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Fremont, California</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9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94538</w:t>
            </w:r>
          </w:p>
        </w:tc>
        <w:tc>
          <w:tcPr>
            <w:tcW w:w="80" w:type="dxa"/>
            <w:vAlign w:val="bottom"/>
          </w:tcPr>
          <w:p>
            <w:pPr>
              <w:spacing w:after="0"/>
              <w:rPr>
                <w:sz w:val="22"/>
                <w:szCs w:val="22"/>
                <w:color w:val="auto"/>
              </w:rPr>
            </w:pPr>
          </w:p>
        </w:tc>
      </w:tr>
      <w:tr>
        <w:trPr>
          <w:trHeight w:val="243"/>
        </w:trPr>
        <w:tc>
          <w:tcPr>
            <w:tcW w:w="80" w:type="dxa"/>
            <w:vAlign w:val="bottom"/>
          </w:tcPr>
          <w:p>
            <w:pPr>
              <w:spacing w:after="0"/>
              <w:rPr>
                <w:sz w:val="21"/>
                <w:szCs w:val="21"/>
                <w:color w:val="auto"/>
              </w:rPr>
            </w:pPr>
          </w:p>
        </w:tc>
        <w:tc>
          <w:tcPr>
            <w:tcW w:w="46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80" w:type="dxa"/>
            <w:vAlign w:val="bottom"/>
            <w:gridSpan w:val="2"/>
          </w:tcPr>
          <w:p>
            <w:pPr>
              <w:jc w:val="center"/>
              <w:ind w:right="170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Registrant’s Telephone Number, Including Area Code: (510) 695-2350</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12529"/>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101600</wp:posOffset>
            </wp:positionV>
            <wp:extent cx="1259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212529"/>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Securities registered pursuant to Section 12(b) of the Act: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520" w:type="dxa"/>
            <w:vAlign w:val="bottom"/>
          </w:tcPr>
          <w:p>
            <w:pPr>
              <w:spacing w:after="0"/>
              <w:rPr>
                <w:sz w:val="18"/>
                <w:szCs w:val="18"/>
                <w:color w:val="auto"/>
              </w:rPr>
            </w:pPr>
          </w:p>
        </w:tc>
      </w:tr>
      <w:tr>
        <w:trPr>
          <w:trHeight w:val="245"/>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Borders>
              <w:bottom w:val="single" w:sz="8" w:color="CCEEFF"/>
            </w:tcBorders>
          </w:tcPr>
          <w:p>
            <w:pPr>
              <w:spacing w:after="0"/>
              <w:rPr>
                <w:sz w:val="21"/>
                <w:szCs w:val="21"/>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00" w:type="dxa"/>
            <w:vAlign w:val="bottom"/>
            <w:tcBorders>
              <w:bottom w:val="single" w:sz="8" w:color="CCEEFF"/>
            </w:tcBorders>
          </w:tcPr>
          <w:p>
            <w:pPr>
              <w:spacing w:after="0"/>
              <w:rPr>
                <w:sz w:val="21"/>
                <w:szCs w:val="21"/>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56"/>
        </w:trPr>
        <w:tc>
          <w:tcPr>
            <w:tcW w:w="5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ENVX</w:t>
            </w:r>
          </w:p>
        </w:tc>
        <w:tc>
          <w:tcPr>
            <w:tcW w:w="3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11"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212529"/>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12529"/>
        </w:rPr>
        <w:t xml:space="preserve">Emerging growth company </w:t>
      </w:r>
      <w:r>
        <w:rPr>
          <w:rFonts w:ascii="MS PGothic" w:cs="MS PGothic" w:eastAsia="MS PGothic" w:hAnsi="MS PGothic"/>
          <w:sz w:val="18"/>
          <w:szCs w:val="18"/>
          <w:color w:val="000000"/>
        </w:rPr>
        <w:t>☐</w:t>
      </w:r>
    </w:p>
    <w:p>
      <w:pPr>
        <w:spacing w:after="0" w:line="18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00000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June 11, 2026, Enovix Corporation (the “Company”) held its 2026 Annual Meeting of Stockholders (the “Annual Meeting”). Present at the Annual Meeting in person or by proxy were holders of 153,161,477 shares of the Company’s common stock, representing 70.3% of the voting power of the Company’s common stock as of April 13, 2026, the record date for the Annual Meeting, and constituting a quorum for the transaction of business. At the Annual Meeting, the Company’s stockholders voted on three proposals, each of which is described in more detail in the Company’s definitive proxy statement filed with the U.S. Securities and Exchange Commission (the “SEC”) on April 24, 2026 (the “Proxy Statement”). The following is a brief description of each matter voted on at the Annual Meeting, including the number of votes cast with respect to each matter and, if applicable, the number of abstentions and broker non-votes with respect to each matter.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approved the election of each of the Company’s eight (8) directors to serve for a one-year term until the Company’s 2027 Annual Meeting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The results of the voting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Voting Result</w:t>
            </w:r>
          </w:p>
        </w:tc>
        <w:tc>
          <w:tcPr>
            <w:tcW w:w="8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For</w:t>
            </w:r>
          </w:p>
        </w:tc>
        <w:tc>
          <w:tcPr>
            <w:tcW w:w="8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0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0" w:type="dxa"/>
            <w:vAlign w:val="bottom"/>
          </w:tcPr>
          <w:p>
            <w:pPr>
              <w:spacing w:after="0"/>
              <w:rPr>
                <w:sz w:val="1"/>
                <w:szCs w:val="1"/>
                <w:color w:val="auto"/>
              </w:rPr>
            </w:pPr>
          </w:p>
        </w:tc>
      </w:tr>
      <w:tr>
        <w:trPr>
          <w:trHeight w:val="25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Thurman John Rodgers</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77,808,783</w:t>
            </w:r>
          </w:p>
        </w:tc>
        <w:tc>
          <w:tcPr>
            <w:tcW w:w="8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11,642,494</w:t>
            </w: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63,710,200</w:t>
            </w:r>
          </w:p>
        </w:tc>
        <w:tc>
          <w:tcPr>
            <w:tcW w:w="0" w:type="dxa"/>
            <w:vAlign w:val="bottom"/>
          </w:tcPr>
          <w:p>
            <w:pPr>
              <w:spacing w:after="0"/>
              <w:rPr>
                <w:sz w:val="1"/>
                <w:szCs w:val="1"/>
                <w:color w:val="auto"/>
              </w:rPr>
            </w:pPr>
          </w:p>
        </w:tc>
      </w:tr>
      <w:tr>
        <w:trPr>
          <w:trHeight w:val="257"/>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Betsy Atkins</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Approved</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73,970,530</w:t>
            </w:r>
          </w:p>
        </w:tc>
        <w:tc>
          <w:tcPr>
            <w:tcW w:w="8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15,480,747</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63,710,200</w:t>
            </w:r>
          </w:p>
        </w:tc>
        <w:tc>
          <w:tcPr>
            <w:tcW w:w="0" w:type="dxa"/>
            <w:vAlign w:val="bottom"/>
          </w:tcPr>
          <w:p>
            <w:pPr>
              <w:spacing w:after="0"/>
              <w:rPr>
                <w:sz w:val="1"/>
                <w:szCs w:val="1"/>
                <w:color w:val="auto"/>
              </w:rPr>
            </w:pPr>
          </w:p>
        </w:tc>
      </w:tr>
      <w:tr>
        <w:trPr>
          <w:trHeight w:val="297"/>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Pegah Ebrahimi</w:t>
            </w:r>
          </w:p>
        </w:tc>
        <w:tc>
          <w:tcPr>
            <w:tcW w:w="17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w:t>
            </w:r>
          </w:p>
        </w:tc>
        <w:tc>
          <w:tcPr>
            <w:tcW w:w="2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86,063,796</w:t>
            </w:r>
          </w:p>
        </w:tc>
        <w:tc>
          <w:tcPr>
            <w:tcW w:w="80" w:type="dxa"/>
            <w:vAlign w:val="bottom"/>
            <w:shd w:val="clear" w:color="auto" w:fill="CCEEFF"/>
          </w:tcPr>
          <w:p>
            <w:pPr>
              <w:spacing w:after="0"/>
              <w:rPr>
                <w:sz w:val="24"/>
                <w:szCs w:val="24"/>
                <w:color w:val="auto"/>
              </w:rPr>
            </w:pPr>
          </w:p>
        </w:tc>
        <w:tc>
          <w:tcPr>
            <w:tcW w:w="2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3,387,481</w:t>
            </w:r>
          </w:p>
        </w:tc>
        <w:tc>
          <w:tcPr>
            <w:tcW w:w="100" w:type="dxa"/>
            <w:vAlign w:val="bottom"/>
            <w:shd w:val="clear" w:color="auto" w:fill="CCEEFF"/>
          </w:tcPr>
          <w:p>
            <w:pPr>
              <w:spacing w:after="0"/>
              <w:rPr>
                <w:sz w:val="24"/>
                <w:szCs w:val="24"/>
                <w:color w:val="auto"/>
              </w:rPr>
            </w:pPr>
          </w:p>
        </w:tc>
        <w:tc>
          <w:tcPr>
            <w:tcW w:w="2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63,710,200</w:t>
            </w:r>
          </w:p>
        </w:tc>
        <w:tc>
          <w:tcPr>
            <w:tcW w:w="0" w:type="dxa"/>
            <w:vAlign w:val="bottom"/>
          </w:tcPr>
          <w:p>
            <w:pPr>
              <w:spacing w:after="0"/>
              <w:rPr>
                <w:sz w:val="1"/>
                <w:szCs w:val="1"/>
                <w:color w:val="auto"/>
              </w:rPr>
            </w:pPr>
          </w:p>
        </w:tc>
      </w:tr>
      <w:tr>
        <w:trPr>
          <w:trHeight w:val="67"/>
        </w:trPr>
        <w:tc>
          <w:tcPr>
            <w:tcW w:w="3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740" w:type="dxa"/>
            <w:vAlign w:val="bottom"/>
            <w:gridSpan w:val="2"/>
            <w:vMerge w:val="continue"/>
            <w:shd w:val="clear" w:color="auto" w:fill="CCEEFF"/>
          </w:tcPr>
          <w:p>
            <w:pPr>
              <w:spacing w:after="0"/>
              <w:rPr>
                <w:sz w:val="5"/>
                <w:szCs w:val="5"/>
                <w:color w:val="auto"/>
              </w:rPr>
            </w:pPr>
          </w:p>
        </w:tc>
        <w:tc>
          <w:tcPr>
            <w:tcW w:w="204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Bernard Gutmann</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Approved</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86,621,523</w:t>
            </w:r>
          </w:p>
        </w:tc>
        <w:tc>
          <w:tcPr>
            <w:tcW w:w="8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2,829,754</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63,710,200</w:t>
            </w:r>
          </w:p>
        </w:tc>
        <w:tc>
          <w:tcPr>
            <w:tcW w:w="0" w:type="dxa"/>
            <w:vAlign w:val="bottom"/>
          </w:tcPr>
          <w:p>
            <w:pPr>
              <w:spacing w:after="0"/>
              <w:rPr>
                <w:sz w:val="1"/>
                <w:szCs w:val="1"/>
                <w:color w:val="auto"/>
              </w:rPr>
            </w:pPr>
          </w:p>
        </w:tc>
      </w:tr>
      <w:tr>
        <w:trPr>
          <w:trHeight w:val="257"/>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Joseph Malchow</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85,498,535</w:t>
            </w:r>
          </w:p>
        </w:tc>
        <w:tc>
          <w:tcPr>
            <w:tcW w:w="80" w:type="dxa"/>
            <w:vAlign w:val="bottom"/>
            <w:shd w:val="clear" w:color="auto" w:fill="CCEEFF"/>
          </w:tcPr>
          <w:p>
            <w:pPr>
              <w:spacing w:after="0"/>
              <w:rPr>
                <w:sz w:val="22"/>
                <w:szCs w:val="22"/>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3,952,742</w:t>
            </w:r>
          </w:p>
        </w:tc>
        <w:tc>
          <w:tcPr>
            <w:tcW w:w="100" w:type="dxa"/>
            <w:vAlign w:val="bottom"/>
            <w:shd w:val="clear" w:color="auto" w:fill="CCEEFF"/>
          </w:tcPr>
          <w:p>
            <w:pPr>
              <w:spacing w:after="0"/>
              <w:rPr>
                <w:sz w:val="22"/>
                <w:szCs w:val="22"/>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63,710,200</w:t>
            </w:r>
          </w:p>
        </w:tc>
        <w:tc>
          <w:tcPr>
            <w:tcW w:w="0" w:type="dxa"/>
            <w:vAlign w:val="bottom"/>
          </w:tcPr>
          <w:p>
            <w:pPr>
              <w:spacing w:after="0"/>
              <w:rPr>
                <w:sz w:val="1"/>
                <w:szCs w:val="1"/>
                <w:color w:val="auto"/>
              </w:rPr>
            </w:pPr>
          </w:p>
        </w:tc>
      </w:tr>
      <w:tr>
        <w:trPr>
          <w:trHeight w:val="257"/>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 Daniel McCranie</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Approved</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86,001,242</w:t>
            </w:r>
          </w:p>
        </w:tc>
        <w:tc>
          <w:tcPr>
            <w:tcW w:w="8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3,450,035</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63,710,200</w:t>
            </w:r>
          </w:p>
        </w:tc>
        <w:tc>
          <w:tcPr>
            <w:tcW w:w="0" w:type="dxa"/>
            <w:vAlign w:val="bottom"/>
          </w:tcPr>
          <w:p>
            <w:pPr>
              <w:spacing w:after="0"/>
              <w:rPr>
                <w:sz w:val="1"/>
                <w:szCs w:val="1"/>
                <w:color w:val="auto"/>
              </w:rPr>
            </w:pPr>
          </w:p>
        </w:tc>
      </w:tr>
      <w:tr>
        <w:trPr>
          <w:trHeight w:val="256"/>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Gregory Reichow</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86,451,037</w:t>
            </w:r>
          </w:p>
        </w:tc>
        <w:tc>
          <w:tcPr>
            <w:tcW w:w="80" w:type="dxa"/>
            <w:vAlign w:val="bottom"/>
            <w:shd w:val="clear" w:color="auto" w:fill="CCEEFF"/>
          </w:tcPr>
          <w:p>
            <w:pPr>
              <w:spacing w:after="0"/>
              <w:rPr>
                <w:sz w:val="22"/>
                <w:szCs w:val="22"/>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3,000,240</w:t>
            </w:r>
          </w:p>
        </w:tc>
        <w:tc>
          <w:tcPr>
            <w:tcW w:w="100" w:type="dxa"/>
            <w:vAlign w:val="bottom"/>
            <w:shd w:val="clear" w:color="auto" w:fill="CCEEFF"/>
          </w:tcPr>
          <w:p>
            <w:pPr>
              <w:spacing w:after="0"/>
              <w:rPr>
                <w:sz w:val="22"/>
                <w:szCs w:val="22"/>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63,710,200</w:t>
            </w:r>
          </w:p>
        </w:tc>
        <w:tc>
          <w:tcPr>
            <w:tcW w:w="0" w:type="dxa"/>
            <w:vAlign w:val="bottom"/>
          </w:tcPr>
          <w:p>
            <w:pPr>
              <w:spacing w:after="0"/>
              <w:rPr>
                <w:sz w:val="1"/>
                <w:szCs w:val="1"/>
                <w:color w:val="auto"/>
              </w:rPr>
            </w:pPr>
          </w:p>
        </w:tc>
      </w:tr>
      <w:tr>
        <w:trPr>
          <w:trHeight w:val="257"/>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Raj Talluri</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Approved</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86,195,883</w:t>
            </w:r>
          </w:p>
        </w:tc>
        <w:tc>
          <w:tcPr>
            <w:tcW w:w="8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3,255,394</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63,710,200</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 Compensation of Our Named Executive Officers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Stockholders approved, on an advisory basis, the compensation of the Company’s named executive officers as disclosed in the Proxy Statement. The results of the voting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Voting Result</w:t>
            </w:r>
          </w:p>
        </w:tc>
        <w:tc>
          <w:tcPr>
            <w:tcW w:w="21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For</w:t>
            </w:r>
          </w:p>
        </w:tc>
        <w:tc>
          <w:tcPr>
            <w:tcW w:w="21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9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72,717,910</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15,443,577</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1,289,790</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63,710,200</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 Ratification of Appointment of Independent Registered Accounting Firm for Fiscal Year 2025</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Stockholders approved the ratification of the appointment of Deloitte &amp; Touche LLP as the Company’s independent registered public accounting firm for the fiscal year ending January 3, 2027. The results of the voting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0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Voting Result</w:t>
            </w:r>
          </w:p>
        </w:tc>
        <w:tc>
          <w:tcPr>
            <w:tcW w:w="210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For</w:t>
            </w:r>
          </w:p>
        </w:tc>
        <w:tc>
          <w:tcPr>
            <w:tcW w:w="212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23"/>
        </w:trPr>
        <w:tc>
          <w:tcPr>
            <w:tcW w:w="4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w:t>
            </w:r>
          </w:p>
        </w:tc>
        <w:tc>
          <w:tcPr>
            <w:tcW w:w="10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148,880,783</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2,847,417</w:t>
            </w:r>
          </w:p>
        </w:tc>
        <w:tc>
          <w:tcPr>
            <w:tcW w:w="8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1,433,277</w:t>
            </w:r>
          </w:p>
        </w:tc>
      </w:tr>
      <w:tr>
        <w:trPr>
          <w:trHeight w:val="1505"/>
        </w:trPr>
        <w:tc>
          <w:tcPr>
            <w:tcW w:w="4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212529"/>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12529"/>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212529"/>
        </w:rPr>
        <w:t>Enovix Corporation</w:t>
      </w:r>
    </w:p>
    <w:p>
      <w:pPr>
        <w:spacing w:after="0" w:line="256" w:lineRule="exact"/>
        <w:rPr>
          <w:sz w:val="20"/>
          <w:szCs w:val="20"/>
          <w:color w:val="auto"/>
        </w:rPr>
      </w:pPr>
    </w:p>
    <w:p>
      <w:pPr>
        <w:ind w:left="20"/>
        <w:spacing w:after="0"/>
        <w:tabs>
          <w:tab w:leader="none" w:pos="680" w:val="left"/>
          <w:tab w:leader="none" w:pos="5320" w:val="left"/>
          <w:tab w:leader="none" w:pos="5780" w:val="left"/>
        </w:tabs>
        <w:rPr>
          <w:sz w:val="20"/>
          <w:szCs w:val="20"/>
          <w:color w:val="auto"/>
        </w:rPr>
      </w:pPr>
      <w:r>
        <w:rPr>
          <w:rFonts w:ascii="Times New Roman" w:cs="Times New Roman" w:eastAsia="Times New Roman" w:hAnsi="Times New Roman"/>
          <w:sz w:val="18"/>
          <w:szCs w:val="18"/>
          <w:color w:val="212529"/>
        </w:rPr>
        <w:t>Date:</w:t>
        <w:tab/>
        <w:t>June 12, 2026</w:t>
      </w:r>
      <w:r>
        <w:rPr>
          <w:sz w:val="20"/>
          <w:szCs w:val="20"/>
          <w:color w:val="auto"/>
        </w:rPr>
        <w:tab/>
      </w:r>
      <w:r>
        <w:rPr>
          <w:rFonts w:ascii="Times New Roman" w:cs="Times New Roman" w:eastAsia="Times New Roman" w:hAnsi="Times New Roman"/>
          <w:sz w:val="18"/>
          <w:szCs w:val="18"/>
          <w:color w:val="212529"/>
        </w:rPr>
        <w:t>By:</w:t>
      </w:r>
      <w:r>
        <w:rPr>
          <w:sz w:val="20"/>
          <w:szCs w:val="20"/>
          <w:color w:val="auto"/>
        </w:rPr>
        <w:tab/>
      </w:r>
      <w:r>
        <w:rPr>
          <w:rFonts w:ascii="Times New Roman" w:cs="Times New Roman" w:eastAsia="Times New Roman" w:hAnsi="Times New Roman"/>
          <w:sz w:val="17"/>
          <w:szCs w:val="17"/>
          <w:color w:val="auto"/>
        </w:rPr>
        <w:t>/s/ Arthi Chakravarthy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154305</wp:posOffset>
            </wp:positionV>
            <wp:extent cx="34632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5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Arthi Chakravarthy</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Legal Officer and Head of Corporate Development</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2026-06-12T15:53:33Z</dcterms:created>
  <dcterms:modified xsi:type="dcterms:W3CDTF">2026-06-12T15:53:33Z</dcterms:modified>
</cp:coreProperties>
</file>