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10300.xml.htm"/>
      <w:bookmarkStart w:id="1" w:name="kswkform4_17883103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315,393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3.36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308,767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the Issuer's common stock issued to the Reporting Person upon the receipt of a fully vested award of restricted stock units ("RSUs") on August 28, 2026. The RSUs represented the Reporting Person's award bonus earned for the quarter ended July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197,114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withholding of shares of the Issuer's common stock to satisfy tax withholding obligations in connection with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725</Words>
  <Characters>3899</Characters>
  <CharactersWithSpaces>4546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