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932402.xml.htm"/>
      <w:bookmarkStart w:id="1" w:name="kswkform4_179193240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Chakravarthy Arthi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ENOVIX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3501 W. WARREN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FREMONT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94538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Enovix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ENVX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52"/>
        <w:gridCol w:w="904"/>
        <w:gridCol w:w="773"/>
        <w:gridCol w:w="600"/>
        <w:gridCol w:w="351"/>
        <w:gridCol w:w="897"/>
        <w:gridCol w:w="462"/>
        <w:gridCol w:w="624"/>
        <w:gridCol w:w="1207"/>
        <w:gridCol w:w="1007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2.5</w:t>
            </w:r>
          </w:p>
        </w:tc>
        <w:tc>
          <w:tcPr>
            <w:tcW w:w="12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575,578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2.5</w:t>
            </w:r>
          </w:p>
        </w:tc>
        <w:tc>
          <w:tcPr>
            <w:tcW w:w="12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572,219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withholding of shares of the Issuer's common stock to satisfy tax withholding obligations in connection with the vesting of restricted stock units ("RSUs").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320,088 shares issuable upon the vesting and settlement of RSUs granted to the Reporting Person, as well as: (i) 10,393 vested performance restricted stock units ("PRSUs"), which will be released to the Reporting Person in March 2027, and (ii) an aggregate of 58,500 PRSUs, 50% of which will be released in April 2027, with the remainder to be released in April 2028 (the foregoing PRSUs collectively referred to as the "Earned PRSUs"). Each PRSU represents a contingent right to receive one share of the Issuer's common stock upon settlement.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313,745 shares issuable upon the vesting and settlement of RSUs granted to the Reporting Person, as well as the Earned PRSUs.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Arthi Chakravarthy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5015" TargetMode="External"/><Relationship Id="rId5" Type="http://schemas.openxmlformats.org/officeDocument/2006/relationships/hyperlink" Target="http://www.sec.gov/cgi-bin/browse-edgar?action=getcompany&amp;CIK=00018283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713</Words>
  <Characters>3852</Characters>
  <CharactersWithSpaces>4486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