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723492.xml.htm"/>
      <w:bookmarkStart w:id="1" w:name="kswkform4_17837234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Talluri Rajendra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65"/>
        <w:gridCol w:w="447"/>
        <w:gridCol w:w="663"/>
        <w:gridCol w:w="1310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5.13</w:t>
            </w:r>
            <w:r>
              <w:rPr/>
              <w:t xml:space="preserve"> </w:t>
            </w:r>
          </w:p>
        </w:tc>
        <w:tc>
          <w:tcPr>
            <w:tcW w:w="13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2,984,625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5.13</w:t>
            </w:r>
            <w:r>
              <w:rPr/>
              <w:t xml:space="preserve"> </w:t>
            </w:r>
          </w:p>
        </w:tc>
        <w:tc>
          <w:tcPr>
            <w:tcW w:w="13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2,980,324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1,843,194 shares issuable upon the vesting and settlement of RSUs granted to the Reporting Person, as well as: (i) 47,775 vested performance restricted stock units ("PRSUs"), which will be released to the Reporting Person in March 2027, and (ii) an aggregate of 259,611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1,835,073 shares issuable upon the vesting and settlement of RSUs granted to the Reporting Person, as well as the Earned PRSUs.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Raj Talluri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1877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715</Words>
  <Characters>3873</Characters>
  <CharactersWithSpaces>4521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