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370" w:after="283"/>
        <w:jc w:val="center"/>
        <w:rPr>
          <w:rFonts w:ascii="Times New Roman;serif" w:hAnsi="Times New Roman;serif"/>
          <w:b/>
          <w:color w:val="000000"/>
          <w:sz w:val="28"/>
        </w:rPr>
      </w:pPr>
      <w:r>
        <w:rPr>
          <w:rFonts w:ascii="Times New Roman;serif" w:hAnsi="Times New Roman;serif"/>
          <w:b/>
          <w:color w:val="000000"/>
          <w:sz w:val="28"/>
        </w:rPr>
        <w:t>SCHEDULE 14A INFORMATION</w:t>
      </w:r>
    </w:p>
    <w:p>
      <w:pPr>
        <w:pStyle w:val="TextBody"/>
        <w:bidi w:val="0"/>
        <w:spacing w:lineRule="auto" w:line="288" w:before="37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w:t>
      </w:r>
    </w:p>
    <w:tbl>
      <w:tblPr>
        <w:tblW w:w="3854" w:type="dxa"/>
        <w:jc w:val="left"/>
        <w:tblInd w:w="0" w:type="dxa"/>
        <w:tblLayout w:type="fixed"/>
        <w:tblCellMar>
          <w:top w:w="28" w:type="dxa"/>
          <w:left w:w="28" w:type="dxa"/>
          <w:bottom w:w="28" w:type="dxa"/>
          <w:right w:w="28" w:type="dxa"/>
        </w:tblCellMar>
      </w:tblPr>
      <w:tblGrid>
        <w:gridCol w:w="1250"/>
        <w:gridCol w:w="1098"/>
        <w:gridCol w:w="1102"/>
        <w:gridCol w:w="118"/>
        <w:gridCol w:w="118"/>
        <w:gridCol w:w="168"/>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w:t>
            </w:r>
          </w:p>
        </w:tc>
        <w:tc>
          <w:tcPr>
            <w:tcW w:w="40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r>
    </w:tbl>
    <w:p>
      <w:pPr>
        <w:pStyle w:val="TextBody"/>
        <w:bidi w:val="0"/>
        <w:spacing w:lineRule="auto" w:line="288" w:before="13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34" w:type="dxa"/>
        <w:jc w:val="left"/>
        <w:tblInd w:w="0" w:type="dxa"/>
        <w:tblLayout w:type="fixed"/>
        <w:tblCellMar>
          <w:top w:w="28" w:type="dxa"/>
          <w:left w:w="28" w:type="dxa"/>
          <w:bottom w:w="28" w:type="dxa"/>
          <w:right w:w="28" w:type="dxa"/>
        </w:tblCellMar>
      </w:tblPr>
      <w:tblGrid>
        <w:gridCol w:w="136"/>
        <w:gridCol w:w="119"/>
        <w:gridCol w:w="119"/>
        <w:gridCol w:w="1951"/>
        <w:gridCol w:w="1951"/>
        <w:gridCol w:w="275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p>
      <w:pPr>
        <w:pStyle w:val="TextBody"/>
        <w:bidi w:val="0"/>
        <w:spacing w:before="120" w:after="283"/>
        <w:jc w:val="center"/>
        <w:rPr/>
      </w:pPr>
      <w:r>
        <w:rPr/>
        <w:drawing>
          <wp:inline distT="0" distB="0" distL="0" distR="0">
            <wp:extent cx="91440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90500"/>
                    </a:xfrm>
                    <a:prstGeom prst="rect">
                      <a:avLst/>
                    </a:prstGeom>
                  </pic:spPr>
                </pic:pic>
              </a:graphicData>
            </a:graphic>
          </wp:inline>
        </w:drawing>
      </w:r>
    </w:p>
    <w:tbl>
      <w:tblPr>
        <w:tblW w:w="5924" w:type="dxa"/>
        <w:jc w:val="left"/>
        <w:tblInd w:w="0" w:type="dxa"/>
        <w:tblLayout w:type="fixed"/>
        <w:tblCellMar>
          <w:top w:w="28" w:type="dxa"/>
          <w:left w:w="28" w:type="dxa"/>
          <w:bottom w:w="28" w:type="dxa"/>
          <w:right w:w="28" w:type="dxa"/>
        </w:tblCellMar>
      </w:tblPr>
      <w:tblGrid>
        <w:gridCol w:w="1897"/>
        <w:gridCol w:w="1668"/>
        <w:gridCol w:w="2359"/>
      </w:tblGrid>
      <w:tr>
        <w:trPr/>
        <w:tc>
          <w:tcPr>
            <w:tcW w:w="189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32"/>
              </w:rPr>
            </w:pPr>
            <w:r>
              <w:rPr>
                <w:rFonts w:ascii="Times New Roman;serif" w:hAnsi="Times New Roman;serif"/>
                <w:b/>
                <w:color w:val="000000"/>
                <w:sz w:val="32"/>
              </w:rPr>
              <w:t>ENOVIX CORPORATION</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5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bl>
    <w:p>
      <w:pPr>
        <w:pStyle w:val="TextBody"/>
        <w:bidi w:val="0"/>
        <w:spacing w:lineRule="auto" w:line="288" w:before="13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44" w:type="dxa"/>
        <w:jc w:val="left"/>
        <w:tblInd w:w="0" w:type="dxa"/>
        <w:tblLayout w:type="fixed"/>
        <w:tblCellMar>
          <w:top w:w="28" w:type="dxa"/>
          <w:left w:w="28" w:type="dxa"/>
          <w:bottom w:w="28" w:type="dxa"/>
          <w:right w:w="28" w:type="dxa"/>
        </w:tblCellMar>
      </w:tblPr>
      <w:tblGrid>
        <w:gridCol w:w="136"/>
        <w:gridCol w:w="119"/>
        <w:gridCol w:w="119"/>
        <w:gridCol w:w="2450"/>
        <w:gridCol w:w="2450"/>
        <w:gridCol w:w="347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Montserrat;sans-serif" w:hAnsi="Montserrat;sans-serif"/>
          <w:b w:val="false"/>
          <w:color w:val="000000"/>
          <w:sz w:val="20"/>
        </w:rPr>
      </w:pPr>
      <w:r>
        <w:rPr>
          <w:rFonts w:ascii="Montserrat;sans-serif" w:hAnsi="Montserrat;sans-serif"/>
          <w:b w:val="false"/>
          <w:color w:val="000000"/>
          <w:sz w:val="20"/>
        </w:rPr>
        <w:t>On May 28, 2026, Enovix Corporation (“Enovix”) posted the following message on its LinkedIn, Facebook, X and Instagram accounts:</w:t>
      </w:r>
    </w:p>
    <w:p>
      <w:pPr>
        <w:pStyle w:val="TextBody"/>
        <w:bidi w:val="0"/>
        <w:spacing w:before="0" w:after="0"/>
        <w:jc w:val="both"/>
        <w:rPr/>
      </w:pPr>
      <w:r>
        <w:rPr/>
      </w:r>
    </w:p>
    <w:p>
      <w:pPr>
        <w:pStyle w:val="TextBody"/>
        <w:bidi w:val="0"/>
        <w:spacing w:before="0" w:after="0"/>
        <w:jc w:val="both"/>
        <w:rPr/>
      </w:pPr>
      <w:r>
        <w:rPr/>
        <w:drawing>
          <wp:inline distT="0" distB="0" distL="0" distR="0">
            <wp:extent cx="5943600" cy="31051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943600" cy="310515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Montserrat;sans-serif" w:hAnsi="Montserrat;sans-serif"/>
          <w:b/>
          <w:color w:val="000000"/>
          <w:sz w:val="20"/>
        </w:rPr>
      </w:pPr>
      <w:r>
        <w:rPr>
          <w:rFonts w:ascii="Montserrat;sans-serif" w:hAnsi="Montserrat;sans-serif"/>
          <w:b/>
          <w:color w:val="000000"/>
          <w:sz w:val="20"/>
        </w:rPr>
        <w:t xml:space="preserve">Important Information </w:t>
      </w:r>
    </w:p>
    <w:p>
      <w:pPr>
        <w:pStyle w:val="TextBody"/>
        <w:bidi w:val="0"/>
        <w:spacing w:before="0" w:after="0"/>
        <w:jc w:val="both"/>
        <w:rPr/>
      </w:pPr>
      <w:r>
        <w:rPr/>
      </w:r>
    </w:p>
    <w:p>
      <w:pPr>
        <w:pStyle w:val="TextBody"/>
        <w:bidi w:val="0"/>
        <w:spacing w:lineRule="auto" w:line="268" w:before="0" w:after="0"/>
        <w:jc w:val="both"/>
        <w:rPr>
          <w:rFonts w:ascii="Montserrat;sans-serif" w:hAnsi="Montserrat;sans-serif"/>
          <w:b w:val="false"/>
          <w:color w:val="000000"/>
          <w:sz w:val="20"/>
        </w:rPr>
      </w:pPr>
      <w:r>
        <w:rPr>
          <w:rFonts w:ascii="Montserrat;sans-serif" w:hAnsi="Montserrat;sans-serif"/>
          <w:b w:val="false"/>
          <w:color w:val="000000"/>
          <w:sz w:val="20"/>
        </w:rPr>
        <w:t>Enovix has filed a definitive proxy statement with the SEC in connection with its 2026 Annual Meeting of Stockholders. Stockholders are encouraged to read the proxy statement and other relevant materials filed with the SEC because they contain important information. Investors may obtain these materials free of charge at www.sec.gov and through Enovix’s investor relations website at: ir.enovix.com.</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Montserrat;sans-serif" w:hAnsi="Montserrat;sans-serif"/>
          <w:b w:val="false"/>
          <w:color w:val="000000"/>
          <w:sz w:val="20"/>
        </w:rPr>
      </w:pPr>
      <w:r>
        <w:rPr>
          <w:rFonts w:ascii="Montserrat;sans-serif" w:hAnsi="Montserrat;sans-serif"/>
          <w:b w:val="false"/>
          <w:color w:val="000000"/>
          <w:sz w:val="20"/>
        </w:rPr>
        <w:t>This communication contains “forward-looking statements” within the meaning of the Private Securities Litigation Reform Act of 1995. Enovix cautions readers that forward-looking statements are predictions based on Enovix’s current expectations about future events. All statements other than statements of historical or current facts, are forward-looking statements. These forward-looking statements, and the assumptions underlying such statements, involve a number of risks, uncertainties, some of which are beyond our control.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For additional information on these risks and uncertainties and other potential factors that could cause actual results to differ from the results predicted, please refer to our filings with the SEC, including in the “Risk Factors” and “Management’s Discussion and Analysis of Financial Condition and Results of Operations” sections of our annual report on Form 10-K and quarterly reports on Form 10-Q and other documents that we have filed, or will file, with the SEC. Forward-looking statements speak only as of the date made, and we undertake no obligation to revise or update them, whether as a result of new information, future events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452</Words>
  <Characters>2545</Characters>
  <CharactersWithSpaces>2973</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