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Talluri Rajendra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20"/>
        <w:spacing w:after="0" w:line="336" w:lineRule="auto"/>
        <w:rPr>
          <w:sz w:val="20"/>
          <w:szCs w:val="20"/>
          <w:color w:val="auto"/>
        </w:rPr>
      </w:pPr>
      <w:r>
        <w:rPr>
          <w:rFonts w:ascii="Times New Roman" w:cs="Times New Roman" w:eastAsia="Times New Roman" w:hAnsi="Times New Roman"/>
          <w:sz w:val="17"/>
          <w:szCs w:val="17"/>
          <w:color w:val="0000FF"/>
        </w:rPr>
        <w:t>C/O ENOVIX CORPORATION 3501 W. WARREN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Enovix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ENVX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94538</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17,794</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3,075,989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9,422</w:t>
            </w:r>
            <w:r>
              <w:rPr>
                <w:rFonts w:ascii="Times New Roman" w:cs="Times New Roman" w:eastAsia="Times New Roman" w:hAnsi="Times New Roman"/>
                <w:sz w:val="22"/>
                <w:szCs w:val="22"/>
                <w:color w:val="008000"/>
                <w:vertAlign w:val="superscript"/>
              </w:rPr>
              <w:t>(3)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7.98</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3,066,567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the Issuer's common stock issued to the Reporting Person upon the receipt of a fully vested award of restricted stock units ("RSUs") on May 29, 2026. The RSUs represented the Reporting Person's award bonus earned for the quarter ended April 5, 2026.</w:t>
      </w:r>
    </w:p>
    <w:p>
      <w:pPr>
        <w:spacing w:after="0" w:line="7"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1,997,944 shares issuable upon the vesting and settlement of RSUs granted to the Reporting Person, as well as: (i) 47,775 vested performance RSUs ("PRSUs"), which will be released to the Reporting Person in March 2027, and (ii) an aggregate of 259,611 PRSUs, 50% of which will be released in April 2027, with the remainder to be released in April 2028. Each PRSU represents a contingent right to receive one share of the Issuer's common stock upon settlement.</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withholding of shares of the Issuer's common stock to satisfy tax withholding obligations in connection with the receipt of the fully vested award of RSUs on May 29,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Arthi Chakravarthy,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02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028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Raj</w:t>
      </w:r>
      <w:r>
        <w:rPr>
          <w:sz w:val="20"/>
          <w:szCs w:val="20"/>
          <w:color w:val="auto"/>
        </w:rPr>
        <w:tab/>
      </w: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Talluri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1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61877" TargetMode="External"/><Relationship Id="rId14" Type="http://schemas.openxmlformats.org/officeDocument/2006/relationships/hyperlink" Target="http://www.sec.gov/cgi-bin/browse-edgar?action=getcompany&amp;CIK=00018283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2026-06-02T20:32:38Z</dcterms:created>
  <dcterms:modified xsi:type="dcterms:W3CDTF">2026-06-02T20:32:38Z</dcterms:modified>
</cp:coreProperties>
</file>