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Benton Ryan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3501 W WARREN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Enovix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ENVX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05/29/2026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jc w:val="center"/>
              <w:ind w:left="58"/>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3"/>
                <w:szCs w:val="3"/>
                <w:color w:val="auto"/>
              </w:rPr>
            </w:pPr>
          </w:p>
        </w:tc>
        <w:tc>
          <w:tcPr>
            <w:tcW w:w="3520" w:type="dxa"/>
            <w:vAlign w:val="bottom"/>
            <w:gridSpan w:val="9"/>
            <w:vMerge w:val="restart"/>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240" w:type="dxa"/>
            <w:vAlign w:val="bottom"/>
          </w:tcPr>
          <w:p>
            <w:pPr>
              <w:spacing w:after="0"/>
              <w:rPr>
                <w:sz w:val="8"/>
                <w:szCs w:val="8"/>
                <w:color w:val="auto"/>
              </w:rPr>
            </w:pPr>
          </w:p>
        </w:tc>
        <w:tc>
          <w:tcPr>
            <w:tcW w:w="35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FREMONT</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94538</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05/29/2026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99"/>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5,103</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928,071</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05/29/2026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2,703</w:t>
            </w:r>
            <w:r>
              <w:rPr>
                <w:rFonts w:ascii="Times New Roman" w:cs="Times New Roman" w:eastAsia="Times New Roman" w:hAnsi="Times New Roman"/>
                <w:sz w:val="22"/>
                <w:szCs w:val="22"/>
                <w:color w:val="008000"/>
                <w:w w:val="97"/>
                <w:vertAlign w:val="superscript"/>
              </w:rPr>
              <w:t>(3)</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7.98</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925,368</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of the Issuer's common stock issued to the Reporting Person upon the receipt of a fully vested award of restricted stock units ("RSUs") on May 29, 2026. The RSUs represented the Reporting Person's award bonus earned for the quarter ended April 5, 2026.</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848,005 shares issuable upon vesting and settlement of RSUs granted to the Reporting Person.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withholding of shares of the Issuer's common stock to satisfy tax withholding obligations in connection with the receipt of the fully vested award of RSUs on May 29, 2026.</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Arthi Chakravarthy,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02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028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Ryan</w:t>
      </w:r>
      <w:r>
        <w:rPr>
          <w:sz w:val="20"/>
          <w:szCs w:val="20"/>
          <w:color w:val="auto"/>
        </w:rPr>
        <w:tab/>
      </w: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Benton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7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64606" TargetMode="External"/><Relationship Id="rId14" Type="http://schemas.openxmlformats.org/officeDocument/2006/relationships/hyperlink" Target="http://www.sec.gov/cgi-bin/browse-edgar?action=getcompany&amp;CIK=000182831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2026-06-02T20:32:36Z</dcterms:created>
  <dcterms:modified xsi:type="dcterms:W3CDTF">2026-06-02T20:32:36Z</dcterms:modified>
</cp:coreProperties>
</file>