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181448.xml.htm"/>
      <w:bookmarkStart w:id="1" w:name="kswkform4_17921814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Truong Kristina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 WARREN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2.51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297,294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175,485 shares issuable upon the vesting and settlement of RSUs granted to the Reporting Person, as well as the following vested performance RSUs ("PRSUs"): (i) 2,489 PRSUs, which will be released to the Reporting Person in March 2027, and (ii) an aggregate of 35,278 PRSUs, 50% of which will be released in April 2027, with the remainder to be released in April 2028 (the foregoing PRSUs collectively referred to as the "Earned PRSUs").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Chakravarthy, Attorney-in-Fact for Kristina Truong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363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683</Words>
  <Characters>3709</Characters>
  <CharactersWithSpaces>4323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