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568960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500380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8-A/A</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REGISTRATION OF CERTAIN CLASSES OF SECURITIES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12(b) OR (g) OF</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9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Enovix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3194050</wp:posOffset>
            </wp:positionH>
            <wp:positionV relativeFrom="paragraph">
              <wp:posOffset>70485</wp:posOffset>
            </wp:positionV>
            <wp:extent cx="754380" cy="163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380" cy="16319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213" w:right="359" w:bottom="1440" w:gutter="0" w:footer="0" w:header="0"/>
        </w:sectPr>
      </w:pPr>
    </w:p>
    <w:p>
      <w:pPr>
        <w:spacing w:after="0" w:line="262"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41059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9"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color w:val="auto"/>
        </w:rPr>
        <w:t>(State or other jurisdiction</w:t>
      </w:r>
    </w:p>
    <w:p>
      <w:pPr>
        <w:ind w:left="26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0" w:lineRule="exact"/>
        <w:rPr>
          <w:sz w:val="24"/>
          <w:szCs w:val="24"/>
          <w:color w:val="auto"/>
        </w:rPr>
      </w:pPr>
    </w:p>
    <w:p>
      <w:pPr>
        <w:spacing w:after="0" w:line="366"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3501 W Warren Avenue</w:t>
      </w:r>
    </w:p>
    <w:p>
      <w:pPr>
        <w:spacing w:after="0" w:line="6"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131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pacing w:after="0" w:line="10"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212529"/>
        </w:rPr>
        <w:t>Securities to be registered pursuant to Section 12(b) of the Act:</w:t>
      </w:r>
    </w:p>
    <w:p>
      <w:pPr>
        <w:spacing w:after="0" w:line="347"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7"/>
          <w:szCs w:val="17"/>
          <w:b w:val="1"/>
          <w:bCs w:val="1"/>
          <w:color w:val="auto"/>
        </w:rPr>
        <w:t>Warrants to Purchase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44316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32"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8"/>
          <w:szCs w:val="18"/>
          <w:color w:val="auto"/>
        </w:rPr>
        <w:t>(Title of each class to be so registered)</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85-3174357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-480060</wp:posOffset>
            </wp:positionH>
            <wp:positionV relativeFrom="paragraph">
              <wp:posOffset>19685</wp:posOffset>
            </wp:positionV>
            <wp:extent cx="29057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9"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8"/>
          <w:szCs w:val="18"/>
          <w:color w:val="auto"/>
        </w:rPr>
        <w:t>(IRS Employer</w:t>
      </w:r>
    </w:p>
    <w:p>
      <w:pPr>
        <w:ind w:left="860"/>
        <w:spacing w:after="0"/>
        <w:rPr>
          <w:sz w:val="20"/>
          <w:szCs w:val="20"/>
          <w:color w:val="auto"/>
        </w:rPr>
      </w:pPr>
      <w:r>
        <w:rPr>
          <w:rFonts w:ascii="Times New Roman" w:cs="Times New Roman" w:eastAsia="Times New Roman" w:hAnsi="Times New Roman"/>
          <w:sz w:val="18"/>
          <w:szCs w:val="18"/>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94538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-462915</wp:posOffset>
            </wp:positionH>
            <wp:positionV relativeFrom="paragraph">
              <wp:posOffset>19685</wp:posOffset>
            </wp:positionV>
            <wp:extent cx="2888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0"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-213995</wp:posOffset>
            </wp:positionH>
            <wp:positionV relativeFrom="paragraph">
              <wp:posOffset>19685</wp:posOffset>
            </wp:positionV>
            <wp:extent cx="2640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exchange on which each Class is to be</w:t>
      </w:r>
    </w:p>
    <w:p>
      <w:pPr>
        <w:ind w:left="1360"/>
        <w:spacing w:after="0"/>
        <w:rPr>
          <w:sz w:val="20"/>
          <w:szCs w:val="20"/>
          <w:color w:val="auto"/>
        </w:rPr>
      </w:pPr>
      <w:r>
        <w:rPr>
          <w:rFonts w:ascii="Times New Roman" w:cs="Times New Roman" w:eastAsia="Times New Roman" w:hAnsi="Times New Roman"/>
          <w:sz w:val="18"/>
          <w:szCs w:val="18"/>
          <w:color w:val="auto"/>
        </w:rPr>
        <w:t>registered)</w:t>
      </w:r>
    </w:p>
    <w:p>
      <w:pPr>
        <w:spacing w:after="0" w:line="200" w:lineRule="exact"/>
        <w:rPr>
          <w:sz w:val="24"/>
          <w:szCs w:val="24"/>
          <w:color w:val="auto"/>
        </w:rPr>
      </w:pPr>
    </w:p>
    <w:p>
      <w:pPr>
        <w:sectPr>
          <w:pgSz w:w="11900" w:h="16838" w:orient="portrait"/>
          <w:cols w:equalWidth="0" w:num="2">
            <w:col w:w="6700" w:space="720"/>
            <w:col w:w="3800"/>
          </w:cols>
          <w:pgMar w:left="320" w:top="1213" w:right="359" w:bottom="1440" w:gutter="0" w:footer="0" w:header="0"/>
          <w:type w:val="continuous"/>
        </w:sectPr>
      </w:pPr>
    </w:p>
    <w:p>
      <w:pPr>
        <w:spacing w:after="0" w:line="10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Act registration statement or Regulation A offering statement file number to which this form relates: </w:t>
      </w:r>
      <w:r>
        <w:rPr>
          <w:rFonts w:ascii="Times New Roman" w:cs="Times New Roman" w:eastAsia="Times New Roman" w:hAnsi="Times New Roman"/>
          <w:sz w:val="18"/>
          <w:szCs w:val="18"/>
          <w:b w:val="1"/>
          <w:bCs w:val="1"/>
          <w:color w:val="auto"/>
        </w:rPr>
        <w:t>Not applicable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to be registered pursuant to Section 12(g) of the Act: </w:t>
      </w: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1134110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1082675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13"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Amendment No. 1 hereby amends the Registration Statement on Form 8-A filed by Enovix Corporation, a Delaware corporation (the “Registrant”), with the Securities and Exchange Commission on July 18, 2025.</w:t>
      </w:r>
    </w:p>
    <w:p>
      <w:pPr>
        <w:spacing w:after="0" w:line="18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securities to be registered hereby are warrants (the “Warrants”) to be distributed to holders (the “Holders”) of common stock, par value $0.0001 per share (“Common Stock”), (the “Registrant”), as of July 17, 2025 (the “Record Date”). Holders may exercise their Warrants for shares of Common Stock as specified under the terms of the warrant agreement to be entered into between the Registrant and Computershare Trust Company, N.A. as Warrant Agent (the “Warrant Agreement”), the form of which is included as Exhibit 4.1 hereto.</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Registrant will distribute the Warrants on or about July 21, 2025, to Holders as of the Record Date.</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Registrant has applied to list the Warrants to be registered hereby on The Nasdaq Stock Market LLC (“Nasdaq” or the “Exchange”) under the symbol “ENVXW”.</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the distribution date of the Warrants, Holders will receive one Warrant for every seven shares of Common Stock they hold as of the Record Date. Holders of the Registrant’s 3.00% Convertible Senior Notes due 2026 (the “Convertible Notes”) will also receive, at the same time and on the same terms as Holders of Common Stock, Warrants without having to convert such Holder’s Convertible Notes as if such Holder held a number of shares of Common Stock equal to the product of (i) the conversion rate applicable to the Convertible Notes in effect on the Record Date, and (ii) the aggregate principal amount (expressed in thousands) of Convertible Notes held by such noteholder on such date.</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fractional Warrants will be issued, and any such fractions that would otherwise be issuable will be rounded down as set forth in the Warrant Agreement. For example, shareholders who own 2, 166 or 333 shares of Common Stock would receive zero, 23 and 47 warrants, respectively. Similarly, Warrants issued to noteholders in the distribution will be subject to similar rounding down.</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Warrant will initially entitle the Holder to purchase, at the Holder’s sole and exclusive election, at a cash exercise price of $8.75 (the “Exercise Price”), one share (as adjusted as described below, the “Warrant Exercise Rate”) of Common Stock.</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the Early Expiration Price Condition (defined below) is met, the Warrants will expire and cease to be exercisable at 5:00 p.m. New York City time on October 1, 2026 (the “Expiration Date”). The Expiration Date is subject to automatic acceleration upon satisfaction of the Early Expiration Price Condition.</w:t>
      </w:r>
    </w:p>
    <w:p>
      <w:pPr>
        <w:spacing w:after="0" w:line="20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Upon the occurrence of the first 30 consecutive Trading Day (defined below) period commencing on the first Trading Day immediately following the distribution date of the Warrants in which the daily VWAPs (defined below) of the shares of Common Stock has been at least equal to the then applicable Early Expiration Trigger Price (defined below) for at least 20 Trading Days (whether or not consecutive) (the “Early Expiration Price Condition” and the last Trading Day of such 30 consecutive Trading Day period to occur, the “Early Expiration Price Condition Date”), the Expiration Date will automatically accelerate to the date (the “Early Expiration Date”) that is the business day immediately following the Early Expiration Price Condition Date. In the event of an early expiration of the Warrants, the Warrants will be exercisable until 5:00 p.m. New York City time on the business day immediately following the Early Expiration Price Condition Date, unless the Registrant sets an Alternate Expiration Date (defined below). If the Early Expiration Price Condition occurs, the Registrant will make a public announcement to that effect by issuance of a press release as promptly as practicable after market close on the Early Expiration Price Condition Date setting forth the Early Expiration Date or an Alternate Expiration Date. Subject to applicable laws and regulations and the terms of the Warrant Agreement, including the occurrence of the Early Expiration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Condition or the Additional Price Condition (defined below), the Warrants may be exercised at any time starting on the date of issuance until 5:00 p.m.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City time on the Expiration Date, as it may be adjusted.</w:t>
      </w:r>
    </w:p>
    <w:p>
      <w:pPr>
        <w:spacing w:after="0" w:line="23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Registrant may, in its sole discretion, elect to set the Early Expiration Date on a date falling after the business day immediately following the Early Expiration Price Condition Date (such date, an “Alternate Expiration Date”). In order to exercise the right to set an Alternate Expiration Date, the Registrant shall, no later than the fifth Qualifying Trading Day (whether or not consecutive) (defined below) occurring in any 20 consecutive Trading Day period, make a public announcement by issuance of a press release that the Registrant is reserving the right to set an Alternate Expiration Date in the event the Early Expiration Price Condition occurs. If the Registrant sets an Alternate Expiration Date, the expiration of the Warrants on such Alternate Expiration Date shall be conditioned on the daily VWAP of a share of Common Stock being at least equal to the quotient of the Exercise Price divided by the Warrant Exercise Rate for each of the two Trading Days immediately preceding such Alternate Expiration Date (the “Additional Price Condition”). As promptly as practicable after market close on the Trading Day immediately preceding the Alternate Expiration Date, the Registrant will make a public announcement by issuance of a press release as to whether the Additional Price Condition has been met. The Registrant may, in its sole discretion, in any such press release, postpone (on one or more occasions) such Alternate Expiration Date to a new Alternate Expiration Date. If the Additional Price Condition is not met as to an Alternate Expiration Date specified by the Registrant, unless the Registrant sets a new Alternate Expiration Date as set forth in the preceding paragraph, the Expiration Date will remain October 1, 2026 unless another Early Expiration Price Condition Date subsequently occurs, or the Registrant sets an Alternate Expiration Date (defined above) in accordance with the provisions above.</w:t>
      </w:r>
    </w:p>
    <w:p>
      <w:pPr>
        <w:spacing w:after="0" w:line="21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the purposes of the foregoing, “VWAP” of the Common Stock (or other security) on any date of determination means, (i) in the case of the Common Stock, for any day on which trading in the Common Stock generally occurs on the Exchange (or, if the Common Stock is not listed on the Exchange, the U.S. national or regional securities exchange or association or over-the-counter market that is the primary market for the trading of the Common Stock on such day), the per-share volume-weighted average price based on all trades in the consolidated tape system as displayed on Bloomberg page “ENVX US Equity HP” (setting: “Volume Weighted Average Line”) (or its equivalent successor if such page or setting is not available) in respect of such day and (ii) in the case of any other security, for any day on which trading in such security generally occurs on the Exchange (or, if such security is not listed on the Exchange, the U.S. national or regional securities exchange or association or over-the-counter market that is the primary market for the trading of such security on such day), the per-share volume-weighted average price based on all trades in the consolidated tape system as displayed on Bloomberg page “HP” for such security in respect of such day. If such information is not so available for the Common Stock or such other security, the VWAP on such date shall be the last reported sale price for the Common Stock or such other security on such day.</w:t>
      </w:r>
    </w:p>
    <w:p>
      <w:pPr>
        <w:spacing w:after="0" w:line="2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A “Trading Day” for the purposes of the foregoing definition means a day on which the Common Stock (or other security) (i) at the close of regular way trading (not including after-hours or extended market trading) is not suspended from trading on the Exchange or, if the Common Stock (or such other security, as the case may be) is not listed on the Exchange, any U.S. national or regional securities exchange or association or over-the-counter market that is the primary market for the trading the Common Stock (or such other security, as the case may be) at 5:00 p.m. New York City time, and (ii) has traded at least once regular way on the Exchange or, if the Common Stock (or such other security, as the case may be) is not listed on the Exchange, such other U.S. national securities exchange or association or over-the-counter market that is the primary market for the trading of the Common Stock (or such other security,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Common Stock (or such other security, as the case may be) is not so listed or traded, “Trading Day” means a Business Day.</w:t>
      </w:r>
    </w:p>
    <w:p>
      <w:pPr>
        <w:spacing w:after="0" w:line="2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“Qualifying Trading Day” for purposes of the foregoing means any Trading Day on which the VWAP of the Common Stock on such Trading Day is at least equal to the Early Expiration Trigger Price in effect on the last day of the Reference Period (as defined in the Warrant Agreement).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“Early Expiration Trigger Price” is initially equal to $10.50, subject to certain adjustments, as defined in the Warrant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74" w:right="339" w:bottom="1440" w:gutter="0" w:footer="0" w:header="0"/>
        </w:sectPr>
      </w:pPr>
    </w:p>
    <w:bookmarkStart w:id="3" w:name="page4"/>
    <w:bookmarkEnd w:id="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Warrant Exercise Rate is subject to certain adjustments for events including: (i) stock dividends, splits, subdivisions, reclassifications and combinations, (ii) rights issues, (iii) other distributions and spinoffs, (iv) cash dividends and distributions, and (iv) shareholder rights plans, in each case as set forth in the Warrant Agreement. The Early Expiration Price Condition is subject to adjustment concurrently with adjustments to the Warrant Exercise Rate.</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distribution of the Warrants has not been registered under the Securities Act of 1933, as amended, (the “Securities Act”) because the issuance of a dividend in the form of a Warrant for no consideration is not a sale or disposition of a security or interest in a security for value pursuant to Section 2(a)(3) of the Securities Act. The Registrant will file a prospectus supplement, under its existing shelf registration statement, registering the shares of Common Stock underlying the Warrants.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description of the Warrants contained in a form of prospectus or prospectus supplement relating to the Warrants subsequently filed by the Registrant pursuant to Rule 424(b) under the Securities Act shall be deemed to be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registration statement:</w:t>
      </w:r>
    </w:p>
    <w:p>
      <w:pPr>
        <w:spacing w:after="0" w:line="262"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3" w:lineRule="exact"/>
        <w:rPr>
          <w:sz w:val="20"/>
          <w:szCs w:val="20"/>
          <w:color w:val="auto"/>
        </w:rPr>
      </w:pPr>
    </w:p>
    <w:p>
      <w:pPr>
        <w:jc w:val="both"/>
        <w:ind w:left="700" w:right="20" w:hanging="674"/>
        <w:spacing w:after="0" w:line="237" w:lineRule="auto"/>
        <w:tabs>
          <w:tab w:leader="none" w:pos="6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0000FF"/>
        </w:rPr>
        <w:t>Form of Warrant Agreement between Computershare Inc., and its affiliate, Computershare Trust Company, N.A. and the Registrant (including the form of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74"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9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Enovix Corporation</w:t>
      </w:r>
    </w:p>
    <w:p>
      <w:pPr>
        <w:spacing w:after="0" w:line="256" w:lineRule="exact"/>
        <w:rPr>
          <w:sz w:val="20"/>
          <w:szCs w:val="20"/>
          <w:color w:val="auto"/>
        </w:rPr>
      </w:pPr>
    </w:p>
    <w:p>
      <w:pPr>
        <w:ind w:left="20"/>
        <w:spacing w:after="0"/>
        <w:tabs>
          <w:tab w:leader="none" w:pos="4720" w:val="left"/>
          <w:tab w:leader="none" w:pos="5600" w:val="left"/>
        </w:tabs>
        <w:rPr>
          <w:sz w:val="20"/>
          <w:szCs w:val="20"/>
          <w:color w:val="auto"/>
        </w:rPr>
      </w:pPr>
      <w:r>
        <w:rPr>
          <w:rFonts w:ascii="Times New Roman" w:cs="Times New Roman" w:eastAsia="Times New Roman" w:hAnsi="Times New Roman"/>
          <w:sz w:val="18"/>
          <w:szCs w:val="18"/>
          <w:color w:val="auto"/>
        </w:rPr>
        <w:t>Date: July 21,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Ryan Benton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43180</wp:posOffset>
            </wp:positionV>
            <wp:extent cx="35744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74415" cy="17145"/>
                    </a:xfrm>
                    <a:prstGeom prst="rect">
                      <a:avLst/>
                    </a:prstGeom>
                    <a:noFill/>
                  </pic:spPr>
                </pic:pic>
              </a:graphicData>
            </a:graphic>
          </wp:anchor>
        </w:drawing>
      </w:r>
    </w:p>
    <w:p>
      <w:pPr>
        <w:spacing w:after="0" w:line="8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Ryan Benton</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170" w:right="359" w:bottom="1440" w:gutter="0" w:footer="0" w:header="0"/>
        </w:sectPr>
      </w:pPr>
    </w:p>
    <w:bookmarkStart w:id="5" w:name="page6"/>
    <w:bookmarkEnd w:id="5"/>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0" w:lineRule="exact"/>
        <w:rPr>
          <w:sz w:val="20"/>
          <w:szCs w:val="20"/>
          <w:color w:val="auto"/>
        </w:rPr>
      </w:pPr>
    </w:p>
    <w:p>
      <w:pPr>
        <w:spacing w:after="0" w:line="23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WARRANT AGREEMENT</w:t>
      </w:r>
    </w:p>
    <w:p>
      <w:pPr>
        <w:spacing w:after="0" w:line="9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Dated as of JULY 21, 2025</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between</w:t>
      </w:r>
    </w:p>
    <w:p>
      <w:pPr>
        <w:spacing w:after="0" w:line="1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ENOVIX CORPORATION</w:t>
      </w:r>
    </w:p>
    <w:p>
      <w:pPr>
        <w:spacing w:after="0" w:line="1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and</w:t>
      </w:r>
    </w:p>
    <w:p>
      <w:pPr>
        <w:spacing w:after="0" w:line="10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COMPUTERSHARE TRUST COMPANY N.A.</w:t>
      </w:r>
    </w:p>
    <w:p>
      <w:pPr>
        <w:spacing w:after="0" w:line="1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as Warrant Agent</w:t>
      </w:r>
    </w:p>
    <w:p>
      <w:pPr>
        <w:spacing w:after="0" w:line="11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____________________</w:t>
      </w:r>
    </w:p>
    <w:p>
      <w:pPr>
        <w:spacing w:after="0" w:line="1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Warrants for</w:t>
      </w:r>
    </w:p>
    <w:p>
      <w:pPr>
        <w:spacing w:after="0" w:line="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Shares of Common Stock of</w:t>
      </w:r>
    </w:p>
    <w:p>
      <w:pPr>
        <w:spacing w:after="0" w:line="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ENOVIX CORPORATION</w:t>
      </w:r>
    </w:p>
    <w:p>
      <w:pPr>
        <w:spacing w:after="0" w:line="8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____________________</w:t>
      </w:r>
    </w:p>
    <w:p>
      <w:pPr>
        <w:sectPr>
          <w:pgSz w:w="11900" w:h="16838" w:orient="portrait"/>
          <w:cols w:equalWidth="0" w:num="1">
            <w:col w:w="10120"/>
          </w:cols>
          <w:pgMar w:left="1440" w:top="144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w w:val="96"/>
              </w:rPr>
              <w:t>Section 1.01</w:t>
            </w:r>
          </w:p>
        </w:tc>
        <w:tc>
          <w:tcPr>
            <w:tcW w:w="220" w:type="dxa"/>
            <w:vAlign w:val="bottom"/>
          </w:tcPr>
          <w:p>
            <w:pPr>
              <w:spacing w:after="0"/>
              <w:rPr>
                <w:sz w:val="22"/>
                <w:szCs w:val="22"/>
                <w:color w:val="auto"/>
              </w:rPr>
            </w:pPr>
          </w:p>
        </w:tc>
        <w:tc>
          <w:tcPr>
            <w:tcW w:w="22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Definitions  4</w:t>
            </w:r>
          </w:p>
        </w:tc>
      </w:tr>
      <w:tr>
        <w:trPr>
          <w:trHeight w:val="20"/>
        </w:trPr>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10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96"/>
              </w:rPr>
              <w:t>Section 1.02</w:t>
            </w:r>
          </w:p>
        </w:tc>
        <w:tc>
          <w:tcPr>
            <w:tcW w:w="220" w:type="dxa"/>
            <w:vAlign w:val="bottom"/>
          </w:tcPr>
          <w:p>
            <w:pPr>
              <w:spacing w:after="0"/>
              <w:rPr>
                <w:sz w:val="20"/>
                <w:szCs w:val="20"/>
                <w:color w:val="auto"/>
              </w:rPr>
            </w:pPr>
          </w:p>
        </w:tc>
        <w:tc>
          <w:tcPr>
            <w:tcW w:w="2220" w:type="dxa"/>
            <w:vAlign w:val="bottom"/>
            <w:gridSpan w:val="8"/>
          </w:tcPr>
          <w:p>
            <w:pPr>
              <w:spacing w:after="0" w:line="237" w:lineRule="exact"/>
              <w:rPr>
                <w:sz w:val="20"/>
                <w:szCs w:val="20"/>
                <w:color w:val="auto"/>
              </w:rPr>
            </w:pPr>
            <w:r>
              <w:rPr>
                <w:rFonts w:ascii="Times New Roman" w:cs="Times New Roman" w:eastAsia="Times New Roman" w:hAnsi="Times New Roman"/>
                <w:sz w:val="22"/>
                <w:szCs w:val="22"/>
                <w:color w:val="auto"/>
              </w:rPr>
              <w:t>Other Definitions  9</w:t>
            </w:r>
          </w:p>
        </w:tc>
      </w:tr>
      <w:tr>
        <w:trPr>
          <w:trHeight w:val="20"/>
        </w:trPr>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4"/>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0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96"/>
              </w:rPr>
              <w:t>Section 1.03</w:t>
            </w:r>
          </w:p>
        </w:tc>
        <w:tc>
          <w:tcPr>
            <w:tcW w:w="220" w:type="dxa"/>
            <w:vAlign w:val="bottom"/>
          </w:tcPr>
          <w:p>
            <w:pPr>
              <w:spacing w:after="0"/>
              <w:rPr>
                <w:sz w:val="20"/>
                <w:szCs w:val="20"/>
                <w:color w:val="auto"/>
              </w:rPr>
            </w:pPr>
          </w:p>
        </w:tc>
        <w:tc>
          <w:tcPr>
            <w:tcW w:w="2220" w:type="dxa"/>
            <w:vAlign w:val="bottom"/>
            <w:gridSpan w:val="8"/>
          </w:tcPr>
          <w:p>
            <w:pPr>
              <w:spacing w:after="0" w:line="237" w:lineRule="exact"/>
              <w:rPr>
                <w:sz w:val="20"/>
                <w:szCs w:val="20"/>
                <w:color w:val="auto"/>
              </w:rPr>
            </w:pPr>
            <w:r>
              <w:rPr>
                <w:rFonts w:ascii="Times New Roman" w:cs="Times New Roman" w:eastAsia="Times New Roman" w:hAnsi="Times New Roman"/>
                <w:sz w:val="22"/>
                <w:szCs w:val="22"/>
                <w:color w:val="auto"/>
              </w:rPr>
              <w:t>Rules of Construction  9</w:t>
            </w:r>
          </w:p>
        </w:tc>
      </w:tr>
      <w:tr>
        <w:trPr>
          <w:trHeight w:val="20"/>
        </w:trPr>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II</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FORM OF WARRANT; BENEFICIAL INTERESTS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w w:val="96"/>
              </w:rPr>
              <w:t>Section 2.01</w:t>
            </w:r>
          </w:p>
        </w:tc>
        <w:tc>
          <w:tcPr>
            <w:tcW w:w="220" w:type="dxa"/>
            <w:vAlign w:val="bottom"/>
          </w:tcPr>
          <w:p>
            <w:pPr>
              <w:spacing w:after="0"/>
              <w:rPr>
                <w:sz w:val="22"/>
                <w:szCs w:val="22"/>
                <w:color w:val="auto"/>
              </w:rPr>
            </w:pPr>
          </w:p>
        </w:tc>
        <w:tc>
          <w:tcPr>
            <w:tcW w:w="232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Issuance and Registration</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37"/>
        </w:trPr>
        <w:tc>
          <w:tcPr>
            <w:tcW w:w="1080" w:type="dxa"/>
            <w:vAlign w:val="bottom"/>
            <w:tcBorders>
              <w:top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w w:val="96"/>
              </w:rPr>
              <w:t>Section 2.02</w:t>
            </w:r>
          </w:p>
        </w:tc>
        <w:tc>
          <w:tcPr>
            <w:tcW w:w="220" w:type="dxa"/>
            <w:vAlign w:val="bottom"/>
          </w:tcPr>
          <w:p>
            <w:pPr>
              <w:spacing w:after="0"/>
              <w:rPr>
                <w:sz w:val="20"/>
                <w:szCs w:val="20"/>
                <w:color w:val="auto"/>
              </w:rPr>
            </w:pPr>
          </w:p>
        </w:tc>
        <w:tc>
          <w:tcPr>
            <w:tcW w:w="1900" w:type="dxa"/>
            <w:vAlign w:val="bottom"/>
            <w:tcBorders>
              <w:top w:val="single" w:sz="8" w:color="auto"/>
            </w:tcBorders>
            <w:gridSpan w:val="5"/>
          </w:tcPr>
          <w:p>
            <w:pPr>
              <w:spacing w:after="0" w:line="237" w:lineRule="exact"/>
              <w:rPr>
                <w:sz w:val="20"/>
                <w:szCs w:val="20"/>
                <w:color w:val="auto"/>
              </w:rPr>
            </w:pPr>
            <w:r>
              <w:rPr>
                <w:rFonts w:ascii="Times New Roman" w:cs="Times New Roman" w:eastAsia="Times New Roman" w:hAnsi="Times New Roman"/>
                <w:sz w:val="22"/>
                <w:szCs w:val="22"/>
                <w:color w:val="auto"/>
              </w:rPr>
              <w:t>Warrant Certificates</w:t>
            </w:r>
          </w:p>
        </w:tc>
        <w:tc>
          <w:tcPr>
            <w:tcW w:w="280" w:type="dxa"/>
            <w:vAlign w:val="bottom"/>
            <w:tcBorders>
              <w:top w:val="single" w:sz="8" w:color="auto"/>
            </w:tcBorders>
            <w:gridSpan w:val="5"/>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11</w:t>
            </w:r>
          </w:p>
        </w:tc>
        <w:tc>
          <w:tcPr>
            <w:tcW w:w="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0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96"/>
              </w:rPr>
              <w:t>Section 2.03</w:t>
            </w:r>
          </w:p>
        </w:tc>
        <w:tc>
          <w:tcPr>
            <w:tcW w:w="220" w:type="dxa"/>
            <w:vAlign w:val="bottom"/>
          </w:tcPr>
          <w:p>
            <w:pPr>
              <w:spacing w:after="0"/>
              <w:rPr>
                <w:sz w:val="20"/>
                <w:szCs w:val="20"/>
                <w:color w:val="auto"/>
              </w:rPr>
            </w:pPr>
          </w:p>
        </w:tc>
        <w:tc>
          <w:tcPr>
            <w:tcW w:w="174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auto"/>
              </w:rPr>
              <w:t>Warrant Register</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73"/>
              </w:rPr>
              <w:t>12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0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96"/>
              </w:rPr>
              <w:t>Section 2.04</w:t>
            </w:r>
          </w:p>
        </w:tc>
        <w:tc>
          <w:tcPr>
            <w:tcW w:w="220" w:type="dxa"/>
            <w:vAlign w:val="bottom"/>
          </w:tcPr>
          <w:p>
            <w:pPr>
              <w:spacing w:after="0"/>
              <w:rPr>
                <w:sz w:val="20"/>
                <w:szCs w:val="20"/>
                <w:color w:val="auto"/>
              </w:rPr>
            </w:pPr>
          </w:p>
        </w:tc>
        <w:tc>
          <w:tcPr>
            <w:tcW w:w="2660" w:type="dxa"/>
            <w:vAlign w:val="bottom"/>
            <w:gridSpan w:val="15"/>
          </w:tcPr>
          <w:p>
            <w:pPr>
              <w:spacing w:after="0" w:line="237" w:lineRule="exact"/>
              <w:rPr>
                <w:sz w:val="20"/>
                <w:szCs w:val="20"/>
                <w:color w:val="auto"/>
              </w:rPr>
            </w:pPr>
            <w:r>
              <w:rPr>
                <w:rFonts w:ascii="Times New Roman" w:cs="Times New Roman" w:eastAsia="Times New Roman" w:hAnsi="Times New Roman"/>
                <w:sz w:val="22"/>
                <w:szCs w:val="22"/>
                <w:color w:val="auto"/>
              </w:rPr>
              <w:t>Transfer and Exchange  12</w:t>
            </w:r>
          </w:p>
        </w:tc>
      </w:tr>
      <w:tr>
        <w:trPr>
          <w:trHeight w:val="20"/>
        </w:trPr>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080" w:type="dxa"/>
            <w:vAlign w:val="bottom"/>
            <w:tcBorders>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w w:val="96"/>
              </w:rPr>
              <w:t>Section 2.05</w:t>
            </w:r>
          </w:p>
        </w:tc>
        <w:tc>
          <w:tcPr>
            <w:tcW w:w="220" w:type="dxa"/>
            <w:vAlign w:val="bottom"/>
          </w:tcPr>
          <w:p>
            <w:pPr>
              <w:spacing w:after="0"/>
              <w:rPr>
                <w:sz w:val="20"/>
                <w:szCs w:val="20"/>
                <w:color w:val="auto"/>
              </w:rPr>
            </w:pPr>
          </w:p>
        </w:tc>
        <w:tc>
          <w:tcPr>
            <w:tcW w:w="1740" w:type="dxa"/>
            <w:vAlign w:val="bottom"/>
            <w:tcBorders>
              <w:bottom w:val="single" w:sz="8" w:color="auto"/>
            </w:tcBorders>
            <w:gridSpan w:val="4"/>
          </w:tcPr>
          <w:p>
            <w:pPr>
              <w:spacing w:after="0" w:line="237" w:lineRule="exact"/>
              <w:rPr>
                <w:sz w:val="20"/>
                <w:szCs w:val="20"/>
                <w:color w:val="auto"/>
              </w:rPr>
            </w:pPr>
            <w:r>
              <w:rPr>
                <w:rFonts w:ascii="Times New Roman" w:cs="Times New Roman" w:eastAsia="Times New Roman" w:hAnsi="Times New Roman"/>
                <w:sz w:val="22"/>
                <w:szCs w:val="22"/>
                <w:color w:val="auto"/>
                <w:w w:val="96"/>
              </w:rPr>
              <w:t>Definitive Warrants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gridSpan w:val="3"/>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w w:val="90"/>
              </w:rPr>
              <w:t>14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0"/>
        </w:trPr>
        <w:tc>
          <w:tcPr>
            <w:tcW w:w="108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w w:val="96"/>
              </w:rPr>
              <w:t>Section 2.06</w:t>
            </w:r>
          </w:p>
        </w:tc>
        <w:tc>
          <w:tcPr>
            <w:tcW w:w="220" w:type="dxa"/>
            <w:vAlign w:val="bottom"/>
          </w:tcPr>
          <w:p>
            <w:pPr>
              <w:spacing w:after="0"/>
              <w:rPr>
                <w:sz w:val="21"/>
                <w:szCs w:val="21"/>
                <w:color w:val="auto"/>
              </w:rPr>
            </w:pPr>
          </w:p>
        </w:tc>
        <w:tc>
          <w:tcPr>
            <w:tcW w:w="2320" w:type="dxa"/>
            <w:vAlign w:val="bottom"/>
            <w:gridSpan w:val="12"/>
          </w:tcPr>
          <w:p>
            <w:pPr>
              <w:spacing w:after="0" w:line="250" w:lineRule="exact"/>
              <w:rPr>
                <w:sz w:val="20"/>
                <w:szCs w:val="20"/>
                <w:color w:val="auto"/>
              </w:rPr>
            </w:pPr>
            <w:r>
              <w:rPr>
                <w:rFonts w:ascii="Times New Roman" w:cs="Times New Roman" w:eastAsia="Times New Roman" w:hAnsi="Times New Roman"/>
                <w:sz w:val="22"/>
                <w:szCs w:val="22"/>
                <w:color w:val="auto"/>
              </w:rPr>
              <w:t>Replacement Certificates</w:t>
            </w:r>
          </w:p>
        </w:tc>
        <w:tc>
          <w:tcPr>
            <w:tcW w:w="30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auto"/>
              </w:rPr>
              <w:t>15</w:t>
            </w:r>
          </w:p>
        </w:tc>
        <w:tc>
          <w:tcPr>
            <w:tcW w:w="40" w:type="dxa"/>
            <w:vAlign w:val="bottom"/>
          </w:tcPr>
          <w:p>
            <w:pPr>
              <w:spacing w:after="0"/>
              <w:rPr>
                <w:sz w:val="21"/>
                <w:szCs w:val="2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0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96"/>
              </w:rPr>
              <w:t>Section 2.07</w:t>
            </w:r>
          </w:p>
        </w:tc>
        <w:tc>
          <w:tcPr>
            <w:tcW w:w="220" w:type="dxa"/>
            <w:vAlign w:val="bottom"/>
          </w:tcPr>
          <w:p>
            <w:pPr>
              <w:spacing w:after="0"/>
              <w:rPr>
                <w:sz w:val="20"/>
                <w:szCs w:val="20"/>
                <w:color w:val="auto"/>
              </w:rPr>
            </w:pPr>
          </w:p>
        </w:tc>
        <w:tc>
          <w:tcPr>
            <w:tcW w:w="190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auto"/>
                <w:w w:val="96"/>
              </w:rPr>
              <w:t>Outstanding Warrants</w:t>
            </w:r>
          </w:p>
        </w:tc>
        <w:tc>
          <w:tcPr>
            <w:tcW w:w="420" w:type="dxa"/>
            <w:vAlign w:val="bottom"/>
            <w:gridSpan w:val="7"/>
          </w:tcPr>
          <w:p>
            <w:pPr>
              <w:jc w:val="right"/>
              <w:spacing w:after="0" w:line="237" w:lineRule="exact"/>
              <w:rPr>
                <w:sz w:val="20"/>
                <w:szCs w:val="20"/>
                <w:color w:val="auto"/>
              </w:rPr>
            </w:pPr>
            <w:r>
              <w:rPr>
                <w:rFonts w:ascii="Times New Roman" w:cs="Times New Roman" w:eastAsia="Times New Roman" w:hAnsi="Times New Roman"/>
                <w:sz w:val="22"/>
                <w:szCs w:val="22"/>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1080" w:type="dxa"/>
            <w:vAlign w:val="bottom"/>
            <w:tcBorders>
              <w:top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w w:val="96"/>
              </w:rPr>
              <w:t>Section 2.08</w:t>
            </w:r>
          </w:p>
        </w:tc>
        <w:tc>
          <w:tcPr>
            <w:tcW w:w="220" w:type="dxa"/>
            <w:vAlign w:val="bottom"/>
          </w:tcPr>
          <w:p>
            <w:pPr>
              <w:spacing w:after="0"/>
              <w:rPr>
                <w:sz w:val="20"/>
                <w:szCs w:val="20"/>
                <w:color w:val="auto"/>
              </w:rPr>
            </w:pPr>
          </w:p>
        </w:tc>
        <w:tc>
          <w:tcPr>
            <w:tcW w:w="1740" w:type="dxa"/>
            <w:vAlign w:val="bottom"/>
            <w:tcBorders>
              <w:top w:val="single" w:sz="8" w:color="auto"/>
            </w:tcBorders>
            <w:gridSpan w:val="4"/>
          </w:tcPr>
          <w:p>
            <w:pPr>
              <w:spacing w:after="0" w:line="237" w:lineRule="exact"/>
              <w:rPr>
                <w:sz w:val="20"/>
                <w:szCs w:val="20"/>
                <w:color w:val="auto"/>
              </w:rPr>
            </w:pPr>
            <w:r>
              <w:rPr>
                <w:rFonts w:ascii="Times New Roman" w:cs="Times New Roman" w:eastAsia="Times New Roman" w:hAnsi="Times New Roman"/>
                <w:sz w:val="22"/>
                <w:szCs w:val="22"/>
                <w:color w:val="auto"/>
              </w:rPr>
              <w:t>Cancellation  15</w:t>
            </w:r>
          </w:p>
        </w:tc>
        <w:tc>
          <w:tcPr>
            <w:tcW w:w="1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0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96"/>
              </w:rPr>
              <w:t>Section 2.09</w:t>
            </w:r>
          </w:p>
        </w:tc>
        <w:tc>
          <w:tcPr>
            <w:tcW w:w="220" w:type="dxa"/>
            <w:vAlign w:val="bottom"/>
          </w:tcPr>
          <w:p>
            <w:pPr>
              <w:spacing w:after="0"/>
              <w:rPr>
                <w:sz w:val="20"/>
                <w:szCs w:val="20"/>
                <w:color w:val="auto"/>
              </w:rPr>
            </w:pPr>
          </w:p>
        </w:tc>
        <w:tc>
          <w:tcPr>
            <w:tcW w:w="174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auto"/>
              </w:rPr>
              <w:t>CUSIP Numbers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73"/>
              </w:rPr>
              <w:t>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III</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EXERCISE TERMS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w w:val="96"/>
              </w:rPr>
              <w:t>Section 3.01</w:t>
            </w:r>
          </w:p>
        </w:tc>
        <w:tc>
          <w:tcPr>
            <w:tcW w:w="220" w:type="dxa"/>
            <w:vAlign w:val="bottom"/>
          </w:tcPr>
          <w:p>
            <w:pPr>
              <w:spacing w:after="0"/>
              <w:rPr>
                <w:sz w:val="21"/>
                <w:szCs w:val="21"/>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Exercise</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73"/>
              </w:rPr>
              <w:t>16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6"/>
        </w:trPr>
        <w:tc>
          <w:tcPr>
            <w:tcW w:w="10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96"/>
              </w:rPr>
              <w:t>Section 3.02</w:t>
            </w:r>
          </w:p>
        </w:tc>
        <w:tc>
          <w:tcPr>
            <w:tcW w:w="220" w:type="dxa"/>
            <w:vAlign w:val="bottom"/>
          </w:tcPr>
          <w:p>
            <w:pPr>
              <w:spacing w:after="0"/>
              <w:rPr>
                <w:sz w:val="20"/>
                <w:szCs w:val="20"/>
                <w:color w:val="auto"/>
              </w:rPr>
            </w:pPr>
          </w:p>
        </w:tc>
        <w:tc>
          <w:tcPr>
            <w:tcW w:w="1920" w:type="dxa"/>
            <w:vAlign w:val="bottom"/>
            <w:gridSpan w:val="11"/>
          </w:tcPr>
          <w:p>
            <w:pPr>
              <w:spacing w:after="0" w:line="237" w:lineRule="exact"/>
              <w:rPr>
                <w:sz w:val="20"/>
                <w:szCs w:val="20"/>
                <w:color w:val="auto"/>
              </w:rPr>
            </w:pPr>
            <w:r>
              <w:rPr>
                <w:rFonts w:ascii="Times New Roman" w:cs="Times New Roman" w:eastAsia="Times New Roman" w:hAnsi="Times New Roman"/>
                <w:sz w:val="22"/>
                <w:szCs w:val="22"/>
                <w:color w:val="auto"/>
              </w:rPr>
              <w:t>Exercise Period  16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1080" w:type="dxa"/>
            <w:vAlign w:val="bottom"/>
            <w:tcBorders>
              <w:top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w w:val="96"/>
              </w:rPr>
              <w:t>Section 3.03</w:t>
            </w:r>
          </w:p>
        </w:tc>
        <w:tc>
          <w:tcPr>
            <w:tcW w:w="220" w:type="dxa"/>
            <w:vAlign w:val="bottom"/>
          </w:tcPr>
          <w:p>
            <w:pPr>
              <w:spacing w:after="0"/>
              <w:rPr>
                <w:sz w:val="20"/>
                <w:szCs w:val="20"/>
                <w:color w:val="auto"/>
              </w:rPr>
            </w:pPr>
          </w:p>
        </w:tc>
        <w:tc>
          <w:tcPr>
            <w:tcW w:w="920" w:type="dxa"/>
            <w:vAlign w:val="bottom"/>
            <w:tcBorders>
              <w:top w:val="single" w:sz="8" w:color="auto"/>
            </w:tcBorders>
            <w:gridSpan w:val="3"/>
          </w:tcPr>
          <w:p>
            <w:pPr>
              <w:spacing w:after="0" w:line="237" w:lineRule="exact"/>
              <w:rPr>
                <w:sz w:val="20"/>
                <w:szCs w:val="20"/>
                <w:color w:val="auto"/>
              </w:rPr>
            </w:pPr>
            <w:r>
              <w:rPr>
                <w:rFonts w:ascii="Times New Roman" w:cs="Times New Roman" w:eastAsia="Times New Roman" w:hAnsi="Times New Roman"/>
                <w:sz w:val="22"/>
                <w:szCs w:val="22"/>
                <w:color w:val="auto"/>
                <w:w w:val="96"/>
              </w:rPr>
              <w:t>Expiration</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17</w:t>
            </w:r>
          </w:p>
        </w:tc>
        <w:tc>
          <w:tcPr>
            <w:tcW w:w="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6"/>
        </w:trPr>
        <w:tc>
          <w:tcPr>
            <w:tcW w:w="10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96"/>
              </w:rPr>
              <w:t>Section 3.04</w:t>
            </w:r>
          </w:p>
        </w:tc>
        <w:tc>
          <w:tcPr>
            <w:tcW w:w="220" w:type="dxa"/>
            <w:vAlign w:val="bottom"/>
          </w:tcPr>
          <w:p>
            <w:pPr>
              <w:spacing w:after="0"/>
              <w:rPr>
                <w:sz w:val="20"/>
                <w:szCs w:val="20"/>
                <w:color w:val="auto"/>
              </w:rPr>
            </w:pPr>
          </w:p>
        </w:tc>
        <w:tc>
          <w:tcPr>
            <w:tcW w:w="1920" w:type="dxa"/>
            <w:vAlign w:val="bottom"/>
            <w:gridSpan w:val="11"/>
          </w:tcPr>
          <w:p>
            <w:pPr>
              <w:spacing w:after="0" w:line="237" w:lineRule="exact"/>
              <w:rPr>
                <w:sz w:val="20"/>
                <w:szCs w:val="20"/>
                <w:color w:val="auto"/>
              </w:rPr>
            </w:pPr>
            <w:r>
              <w:rPr>
                <w:rFonts w:ascii="Times New Roman" w:cs="Times New Roman" w:eastAsia="Times New Roman" w:hAnsi="Times New Roman"/>
                <w:sz w:val="22"/>
                <w:szCs w:val="22"/>
                <w:color w:val="auto"/>
              </w:rPr>
              <w:t>Manner of Exercise</w:t>
            </w:r>
          </w:p>
        </w:tc>
        <w:tc>
          <w:tcPr>
            <w:tcW w:w="2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Borders>
              <w:left w:val="single" w:sz="8" w:color="auto"/>
            </w:tcBorders>
            <w:gridSpan w:val="4"/>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108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w w:val="96"/>
              </w:rPr>
              <w:t>Section 3.05</w:t>
            </w:r>
          </w:p>
        </w:tc>
        <w:tc>
          <w:tcPr>
            <w:tcW w:w="220" w:type="dxa"/>
            <w:vAlign w:val="bottom"/>
          </w:tcPr>
          <w:p>
            <w:pPr>
              <w:spacing w:after="0"/>
              <w:rPr>
                <w:sz w:val="21"/>
                <w:szCs w:val="21"/>
                <w:color w:val="auto"/>
              </w:rPr>
            </w:pPr>
          </w:p>
        </w:tc>
        <w:tc>
          <w:tcPr>
            <w:tcW w:w="2340" w:type="dxa"/>
            <w:vAlign w:val="bottom"/>
            <w:gridSpan w:val="14"/>
          </w:tcPr>
          <w:p>
            <w:pPr>
              <w:spacing w:after="0" w:line="250" w:lineRule="exact"/>
              <w:rPr>
                <w:sz w:val="20"/>
                <w:szCs w:val="20"/>
                <w:color w:val="auto"/>
              </w:rPr>
            </w:pPr>
            <w:r>
              <w:rPr>
                <w:rFonts w:ascii="Times New Roman" w:cs="Times New Roman" w:eastAsia="Times New Roman" w:hAnsi="Times New Roman"/>
                <w:sz w:val="22"/>
                <w:szCs w:val="22"/>
                <w:color w:val="auto"/>
                <w:w w:val="95"/>
              </w:rPr>
              <w:t>Issuance of Warrant Shares</w:t>
            </w:r>
          </w:p>
        </w:tc>
        <w:tc>
          <w:tcPr>
            <w:tcW w:w="80" w:type="dxa"/>
            <w:vAlign w:val="bottom"/>
          </w:tcPr>
          <w:p>
            <w:pPr>
              <w:spacing w:after="0"/>
              <w:rPr>
                <w:sz w:val="21"/>
                <w:szCs w:val="21"/>
                <w:color w:val="auto"/>
              </w:rPr>
            </w:pPr>
          </w:p>
        </w:tc>
        <w:tc>
          <w:tcPr>
            <w:tcW w:w="440" w:type="dxa"/>
            <w:vAlign w:val="bottom"/>
            <w:gridSpan w:val="4"/>
          </w:tcPr>
          <w:p>
            <w:pPr>
              <w:jc w:val="right"/>
              <w:ind w:right="80"/>
              <w:spacing w:after="0" w:line="250" w:lineRule="exact"/>
              <w:rPr>
                <w:sz w:val="20"/>
                <w:szCs w:val="20"/>
                <w:color w:val="auto"/>
              </w:rPr>
            </w:pPr>
            <w:r>
              <w:rPr>
                <w:rFonts w:ascii="Times New Roman" w:cs="Times New Roman" w:eastAsia="Times New Roman" w:hAnsi="Times New Roman"/>
                <w:sz w:val="22"/>
                <w:szCs w:val="22"/>
                <w:color w:val="auto"/>
              </w:rPr>
              <w:t>19</w:t>
            </w:r>
          </w:p>
        </w:tc>
        <w:tc>
          <w:tcPr>
            <w:tcW w:w="220" w:type="dxa"/>
            <w:vAlign w:val="bottom"/>
          </w:tcPr>
          <w:p>
            <w:pPr>
              <w:spacing w:after="0"/>
              <w:rPr>
                <w:sz w:val="21"/>
                <w:szCs w:val="2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tcBorders>
              <w:left w:val="single" w:sz="8" w:color="auto"/>
            </w:tcBorders>
            <w:gridSpan w:val="6"/>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080" w:type="dxa"/>
            <w:vAlign w:val="bottom"/>
            <w:tcBorders>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w w:val="96"/>
              </w:rPr>
              <w:t>Section 3.06</w:t>
            </w:r>
          </w:p>
        </w:tc>
        <w:tc>
          <w:tcPr>
            <w:tcW w:w="220" w:type="dxa"/>
            <w:vAlign w:val="bottom"/>
          </w:tcPr>
          <w:p>
            <w:pPr>
              <w:spacing w:after="0"/>
              <w:rPr>
                <w:sz w:val="20"/>
                <w:szCs w:val="20"/>
                <w:color w:val="auto"/>
              </w:rPr>
            </w:pPr>
          </w:p>
        </w:tc>
        <w:tc>
          <w:tcPr>
            <w:tcW w:w="2260" w:type="dxa"/>
            <w:vAlign w:val="bottom"/>
            <w:tcBorders>
              <w:bottom w:val="single" w:sz="8" w:color="auto"/>
            </w:tcBorders>
            <w:gridSpan w:val="13"/>
          </w:tcPr>
          <w:p>
            <w:pPr>
              <w:spacing w:after="0" w:line="237" w:lineRule="exact"/>
              <w:rPr>
                <w:sz w:val="20"/>
                <w:szCs w:val="20"/>
                <w:color w:val="auto"/>
              </w:rPr>
            </w:pPr>
            <w:r>
              <w:rPr>
                <w:rFonts w:ascii="Times New Roman" w:cs="Times New Roman" w:eastAsia="Times New Roman" w:hAnsi="Times New Roman"/>
                <w:sz w:val="22"/>
                <w:szCs w:val="22"/>
                <w:color w:val="auto"/>
                <w:w w:val="96"/>
              </w:rPr>
              <w:t>Fractional Warrant Shares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20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6"/>
        </w:trPr>
        <w:tc>
          <w:tcPr>
            <w:tcW w:w="10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96"/>
              </w:rPr>
              <w:t>Section 3.07</w:t>
            </w:r>
          </w:p>
        </w:tc>
        <w:tc>
          <w:tcPr>
            <w:tcW w:w="220" w:type="dxa"/>
            <w:vAlign w:val="bottom"/>
          </w:tcPr>
          <w:p>
            <w:pPr>
              <w:spacing w:after="0"/>
              <w:rPr>
                <w:sz w:val="20"/>
                <w:szCs w:val="20"/>
                <w:color w:val="auto"/>
              </w:rPr>
            </w:pPr>
          </w:p>
        </w:tc>
        <w:tc>
          <w:tcPr>
            <w:tcW w:w="3080" w:type="dxa"/>
            <w:vAlign w:val="bottom"/>
            <w:gridSpan w:val="20"/>
          </w:tcPr>
          <w:p>
            <w:pPr>
              <w:spacing w:after="0" w:line="237" w:lineRule="exact"/>
              <w:rPr>
                <w:sz w:val="20"/>
                <w:szCs w:val="20"/>
                <w:color w:val="auto"/>
              </w:rPr>
            </w:pPr>
            <w:r>
              <w:rPr>
                <w:rFonts w:ascii="Times New Roman" w:cs="Times New Roman" w:eastAsia="Times New Roman" w:hAnsi="Times New Roman"/>
                <w:sz w:val="22"/>
                <w:szCs w:val="22"/>
                <w:color w:val="auto"/>
              </w:rPr>
              <w:t>Reservation of Warrant Shares  20</w:t>
            </w:r>
          </w:p>
        </w:tc>
      </w:tr>
      <w:tr>
        <w:trPr>
          <w:trHeight w:val="237"/>
        </w:trPr>
        <w:tc>
          <w:tcPr>
            <w:tcW w:w="1080" w:type="dxa"/>
            <w:vAlign w:val="bottom"/>
            <w:tcBorders>
              <w:top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w w:val="96"/>
              </w:rPr>
              <w:t>Section 3.08</w:t>
            </w:r>
          </w:p>
        </w:tc>
        <w:tc>
          <w:tcPr>
            <w:tcW w:w="220" w:type="dxa"/>
            <w:vAlign w:val="bottom"/>
          </w:tcPr>
          <w:p>
            <w:pPr>
              <w:spacing w:after="0"/>
              <w:rPr>
                <w:sz w:val="20"/>
                <w:szCs w:val="20"/>
                <w:color w:val="auto"/>
              </w:rPr>
            </w:pPr>
          </w:p>
        </w:tc>
        <w:tc>
          <w:tcPr>
            <w:tcW w:w="1020" w:type="dxa"/>
            <w:vAlign w:val="bottom"/>
            <w:tcBorders>
              <w:top w:val="single" w:sz="8" w:color="auto"/>
            </w:tcBorders>
            <w:gridSpan w:val="4"/>
          </w:tcPr>
          <w:p>
            <w:pPr>
              <w:spacing w:after="0" w:line="237" w:lineRule="exact"/>
              <w:rPr>
                <w:sz w:val="20"/>
                <w:szCs w:val="20"/>
                <w:color w:val="auto"/>
              </w:rPr>
            </w:pPr>
            <w:r>
              <w:rPr>
                <w:rFonts w:ascii="Times New Roman" w:cs="Times New Roman" w:eastAsia="Times New Roman" w:hAnsi="Times New Roman"/>
                <w:sz w:val="22"/>
                <w:szCs w:val="22"/>
                <w:color w:val="auto"/>
              </w:rPr>
              <w:t>Reserved</w:t>
            </w:r>
          </w:p>
        </w:tc>
        <w:tc>
          <w:tcPr>
            <w:tcW w:w="160" w:type="dxa"/>
            <w:vAlign w:val="bottom"/>
            <w:tcBorders>
              <w:top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20</w:t>
            </w:r>
          </w:p>
        </w:tc>
        <w:tc>
          <w:tcPr>
            <w:tcW w:w="1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tcBorders>
              <w:left w:val="single" w:sz="8" w:color="auto"/>
            </w:tcBorders>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6"/>
        </w:trPr>
        <w:tc>
          <w:tcPr>
            <w:tcW w:w="10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96"/>
              </w:rPr>
              <w:t>Section 3.09</w:t>
            </w:r>
          </w:p>
        </w:tc>
        <w:tc>
          <w:tcPr>
            <w:tcW w:w="220" w:type="dxa"/>
            <w:vAlign w:val="bottom"/>
          </w:tcPr>
          <w:p>
            <w:pPr>
              <w:spacing w:after="0"/>
              <w:rPr>
                <w:sz w:val="20"/>
                <w:szCs w:val="20"/>
                <w:color w:val="auto"/>
              </w:rPr>
            </w:pPr>
          </w:p>
        </w:tc>
        <w:tc>
          <w:tcPr>
            <w:tcW w:w="1920" w:type="dxa"/>
            <w:vAlign w:val="bottom"/>
            <w:gridSpan w:val="11"/>
          </w:tcPr>
          <w:p>
            <w:pPr>
              <w:spacing w:after="0" w:line="237" w:lineRule="exact"/>
              <w:rPr>
                <w:sz w:val="20"/>
                <w:szCs w:val="20"/>
                <w:color w:val="auto"/>
              </w:rPr>
            </w:pPr>
            <w:r>
              <w:rPr>
                <w:rFonts w:ascii="Times New Roman" w:cs="Times New Roman" w:eastAsia="Times New Roman" w:hAnsi="Times New Roman"/>
                <w:sz w:val="22"/>
                <w:szCs w:val="22"/>
                <w:color w:val="auto"/>
                <w:w w:val="97"/>
              </w:rPr>
              <w:t>Adjustments of Prices</w:t>
            </w:r>
          </w:p>
        </w:tc>
        <w:tc>
          <w:tcPr>
            <w:tcW w:w="220" w:type="dxa"/>
            <w:vAlign w:val="bottom"/>
          </w:tcPr>
          <w:p>
            <w:pPr>
              <w:spacing w:after="0"/>
              <w:rPr>
                <w:sz w:val="20"/>
                <w:szCs w:val="20"/>
                <w:color w:val="auto"/>
              </w:rPr>
            </w:pPr>
          </w:p>
        </w:tc>
        <w:tc>
          <w:tcPr>
            <w:tcW w:w="2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w w:val="81"/>
              </w:rPr>
              <w:t>20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tcBorders>
              <w:bottom w:val="single" w:sz="8" w:color="auto"/>
            </w:tcBorders>
            <w:gridSpan w:val="9"/>
          </w:tcPr>
          <w:p>
            <w:pPr>
              <w:jc w:val="center"/>
              <w:ind w:right="20"/>
              <w:spacing w:after="0"/>
              <w:rPr>
                <w:sz w:val="20"/>
                <w:szCs w:val="20"/>
                <w:color w:val="auto"/>
              </w:rPr>
            </w:pPr>
            <w:r>
              <w:rPr>
                <w:rFonts w:ascii="Times New Roman" w:cs="Times New Roman" w:eastAsia="Times New Roman" w:hAnsi="Times New Roman"/>
                <w:sz w:val="22"/>
                <w:szCs w:val="22"/>
                <w:color w:val="auto"/>
                <w:w w:val="97"/>
              </w:rPr>
              <w:t>ARTICLE IV</w:t>
            </w:r>
          </w:p>
        </w:tc>
        <w:tc>
          <w:tcPr>
            <w:tcW w:w="4220" w:type="dxa"/>
            <w:vAlign w:val="bottom"/>
            <w:gridSpan w:val="4"/>
          </w:tcPr>
          <w:p>
            <w:pPr>
              <w:spacing w:after="0"/>
              <w:rPr>
                <w:sz w:val="22"/>
                <w:szCs w:val="22"/>
                <w:color w:val="auto"/>
              </w:rPr>
            </w:pPr>
          </w:p>
        </w:tc>
      </w:tr>
      <w:tr>
        <w:trPr>
          <w:trHeight w:val="493"/>
        </w:trPr>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60" w:type="dxa"/>
            <w:vAlign w:val="bottom"/>
            <w:gridSpan w:val="36"/>
          </w:tcPr>
          <w:p>
            <w:pPr>
              <w:jc w:val="center"/>
              <w:ind w:right="2720"/>
              <w:spacing w:after="0"/>
              <w:rPr>
                <w:sz w:val="20"/>
                <w:szCs w:val="20"/>
                <w:color w:val="auto"/>
              </w:rPr>
            </w:pPr>
            <w:r>
              <w:rPr>
                <w:rFonts w:ascii="Times New Roman" w:cs="Times New Roman" w:eastAsia="Times New Roman" w:hAnsi="Times New Roman"/>
                <w:sz w:val="22"/>
                <w:szCs w:val="22"/>
                <w:color w:val="auto"/>
                <w:w w:val="98"/>
              </w:rPr>
              <w:t>ADJUSTMENT AND NOTICE PROVISIONS</w:t>
            </w:r>
          </w:p>
        </w:tc>
      </w:tr>
      <w:tr>
        <w:trPr>
          <w:trHeight w:val="452"/>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4"/>
              </w:rPr>
              <w:t>Section 4.01</w:t>
            </w:r>
          </w:p>
        </w:tc>
        <w:tc>
          <w:tcPr>
            <w:tcW w:w="240" w:type="dxa"/>
            <w:vAlign w:val="bottom"/>
          </w:tcPr>
          <w:p>
            <w:pPr>
              <w:spacing w:after="0"/>
              <w:rPr>
                <w:sz w:val="24"/>
                <w:szCs w:val="24"/>
                <w:color w:val="auto"/>
              </w:rPr>
            </w:pPr>
          </w:p>
        </w:tc>
        <w:tc>
          <w:tcPr>
            <w:tcW w:w="10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w w:val="95"/>
              </w:rPr>
              <w:t>Adjustments</w:t>
            </w:r>
          </w:p>
        </w:tc>
        <w:tc>
          <w:tcPr>
            <w:tcW w:w="160" w:type="dxa"/>
            <w:vAlign w:val="bottom"/>
            <w:gridSpan w:val="3"/>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780" w:type="dxa"/>
            <w:vAlign w:val="bottom"/>
          </w:tcPr>
          <w:p>
            <w:pPr>
              <w:spacing w:after="0"/>
              <w:rPr>
                <w:sz w:val="24"/>
                <w:szCs w:val="24"/>
                <w:color w:val="auto"/>
              </w:rPr>
            </w:pPr>
          </w:p>
        </w:tc>
      </w:tr>
      <w:tr>
        <w:trPr>
          <w:trHeight w:val="250"/>
        </w:trPr>
        <w:tc>
          <w:tcPr>
            <w:tcW w:w="10460" w:type="dxa"/>
            <w:vAlign w:val="bottom"/>
            <w:gridSpan w:val="54"/>
          </w:tcPr>
          <w:p>
            <w:pPr>
              <w:spacing w:after="0" w:line="250" w:lineRule="exact"/>
              <w:rPr>
                <w:sz w:val="20"/>
                <w:szCs w:val="20"/>
                <w:color w:val="auto"/>
              </w:rPr>
            </w:pPr>
            <w:r>
              <w:rPr>
                <w:rFonts w:ascii="Times New Roman" w:cs="Times New Roman" w:eastAsia="Times New Roman" w:hAnsi="Times New Roman"/>
                <w:sz w:val="22"/>
                <w:szCs w:val="22"/>
                <w:color w:val="auto"/>
                <w:w w:val="98"/>
              </w:rPr>
              <w:t>Section 4.02  Calculation of Adjustments; Timing of Issuance of Additional Warrant Shares Upon Certain Adjustments;</w:t>
            </w:r>
          </w:p>
        </w:tc>
      </w:tr>
      <w:tr>
        <w:trPr>
          <w:trHeight w:val="237"/>
        </w:trPr>
        <w:tc>
          <w:tcPr>
            <w:tcW w:w="10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Borders>
              <w:top w:val="single" w:sz="8" w:color="auto"/>
            </w:tcBorders>
            <w:gridSpan w:val="9"/>
          </w:tcPr>
          <w:p>
            <w:pPr>
              <w:spacing w:after="0" w:line="237" w:lineRule="exact"/>
              <w:rPr>
                <w:sz w:val="20"/>
                <w:szCs w:val="20"/>
                <w:color w:val="auto"/>
              </w:rPr>
            </w:pPr>
            <w:r>
              <w:rPr>
                <w:rFonts w:ascii="Times New Roman" w:cs="Times New Roman" w:eastAsia="Times New Roman" w:hAnsi="Times New Roman"/>
                <w:sz w:val="22"/>
                <w:szCs w:val="22"/>
                <w:color w:val="auto"/>
                <w:w w:val="94"/>
              </w:rPr>
              <w:t>Adjustment Rules</w:t>
            </w:r>
          </w:p>
        </w:tc>
        <w:tc>
          <w:tcPr>
            <w:tcW w:w="220" w:type="dxa"/>
            <w:vAlign w:val="bottom"/>
            <w:tcBorders>
              <w:top w:val="single" w:sz="8" w:color="auto"/>
            </w:tcBorders>
            <w:gridSpan w:val="4"/>
          </w:tcPr>
          <w:p>
            <w:pPr>
              <w:spacing w:after="0"/>
              <w:rPr>
                <w:sz w:val="20"/>
                <w:szCs w:val="20"/>
                <w:color w:val="auto"/>
              </w:rPr>
            </w:pPr>
          </w:p>
        </w:tc>
        <w:tc>
          <w:tcPr>
            <w:tcW w:w="320" w:type="dxa"/>
            <w:vAlign w:val="bottom"/>
            <w:tcBorders>
              <w:top w:val="single" w:sz="8" w:color="auto"/>
            </w:tcBorders>
            <w:gridSpan w:val="2"/>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w w:val="90"/>
              </w:rPr>
              <w:t>26</w:t>
            </w: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tcPr>
          <w:p>
            <w:pPr>
              <w:spacing w:after="0"/>
              <w:rPr>
                <w:sz w:val="20"/>
                <w:szCs w:val="20"/>
                <w:color w:val="auto"/>
              </w:rPr>
            </w:pPr>
          </w:p>
        </w:tc>
      </w:tr>
      <w:tr>
        <w:trPr>
          <w:trHeight w:val="20"/>
        </w:trPr>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r>
      <w:tr>
        <w:trPr>
          <w:trHeight w:val="237"/>
        </w:trPr>
        <w:tc>
          <w:tcPr>
            <w:tcW w:w="10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94"/>
              </w:rPr>
              <w:t>Section 4.03</w:t>
            </w:r>
          </w:p>
        </w:tc>
        <w:tc>
          <w:tcPr>
            <w:tcW w:w="240" w:type="dxa"/>
            <w:vAlign w:val="bottom"/>
          </w:tcPr>
          <w:p>
            <w:pPr>
              <w:spacing w:after="0"/>
              <w:rPr>
                <w:sz w:val="20"/>
                <w:szCs w:val="20"/>
                <w:color w:val="auto"/>
              </w:rPr>
            </w:pPr>
          </w:p>
        </w:tc>
        <w:tc>
          <w:tcPr>
            <w:tcW w:w="9140" w:type="dxa"/>
            <w:vAlign w:val="bottom"/>
            <w:gridSpan w:val="52"/>
          </w:tcPr>
          <w:p>
            <w:pPr>
              <w:spacing w:after="0" w:line="237" w:lineRule="exact"/>
              <w:rPr>
                <w:sz w:val="20"/>
                <w:szCs w:val="20"/>
                <w:color w:val="auto"/>
              </w:rPr>
            </w:pPr>
            <w:r>
              <w:rPr>
                <w:rFonts w:ascii="Times New Roman" w:cs="Times New Roman" w:eastAsia="Times New Roman" w:hAnsi="Times New Roman"/>
                <w:sz w:val="22"/>
                <w:szCs w:val="22"/>
                <w:color w:val="auto"/>
              </w:rPr>
              <w:t>Business Combinations and Reorganizations  27</w:t>
            </w:r>
          </w:p>
        </w:tc>
      </w:tr>
      <w:tr>
        <w:trPr>
          <w:trHeight w:val="237"/>
        </w:trPr>
        <w:tc>
          <w:tcPr>
            <w:tcW w:w="1080" w:type="dxa"/>
            <w:vAlign w:val="bottom"/>
            <w:tcBorders>
              <w:top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w w:val="94"/>
              </w:rPr>
              <w:t>Section 4.04</w:t>
            </w:r>
          </w:p>
        </w:tc>
        <w:tc>
          <w:tcPr>
            <w:tcW w:w="240" w:type="dxa"/>
            <w:vAlign w:val="bottom"/>
          </w:tcPr>
          <w:p>
            <w:pPr>
              <w:spacing w:after="0"/>
              <w:rPr>
                <w:sz w:val="20"/>
                <w:szCs w:val="20"/>
                <w:color w:val="auto"/>
              </w:rPr>
            </w:pPr>
          </w:p>
        </w:tc>
        <w:tc>
          <w:tcPr>
            <w:tcW w:w="2680" w:type="dxa"/>
            <w:vAlign w:val="bottom"/>
            <w:tcBorders>
              <w:top w:val="single" w:sz="8" w:color="auto"/>
            </w:tcBorders>
            <w:gridSpan w:val="21"/>
          </w:tcPr>
          <w:p>
            <w:pPr>
              <w:spacing w:after="0" w:line="237" w:lineRule="exact"/>
              <w:rPr>
                <w:sz w:val="20"/>
                <w:szCs w:val="20"/>
                <w:color w:val="auto"/>
              </w:rPr>
            </w:pPr>
            <w:r>
              <w:rPr>
                <w:rFonts w:ascii="Times New Roman" w:cs="Times New Roman" w:eastAsia="Times New Roman" w:hAnsi="Times New Roman"/>
                <w:sz w:val="22"/>
                <w:szCs w:val="22"/>
                <w:color w:val="auto"/>
              </w:rPr>
              <w:t>Notice of Adjustments  27</w:t>
            </w: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37"/>
        </w:trPr>
        <w:tc>
          <w:tcPr>
            <w:tcW w:w="10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94"/>
              </w:rPr>
              <w:t>Section 4.05</w:t>
            </w:r>
          </w:p>
        </w:tc>
        <w:tc>
          <w:tcPr>
            <w:tcW w:w="240" w:type="dxa"/>
            <w:vAlign w:val="bottom"/>
          </w:tcPr>
          <w:p>
            <w:pPr>
              <w:spacing w:after="0"/>
              <w:rPr>
                <w:sz w:val="20"/>
                <w:szCs w:val="20"/>
                <w:color w:val="auto"/>
              </w:rPr>
            </w:pPr>
          </w:p>
        </w:tc>
        <w:tc>
          <w:tcPr>
            <w:tcW w:w="3100" w:type="dxa"/>
            <w:vAlign w:val="bottom"/>
            <w:gridSpan w:val="27"/>
          </w:tcPr>
          <w:p>
            <w:pPr>
              <w:spacing w:after="0" w:line="237" w:lineRule="exact"/>
              <w:rPr>
                <w:sz w:val="20"/>
                <w:szCs w:val="20"/>
                <w:color w:val="auto"/>
              </w:rPr>
            </w:pPr>
            <w:r>
              <w:rPr>
                <w:rFonts w:ascii="Times New Roman" w:cs="Times New Roman" w:eastAsia="Times New Roman" w:hAnsi="Times New Roman"/>
                <w:sz w:val="22"/>
                <w:szCs w:val="22"/>
                <w:color w:val="auto"/>
              </w:rPr>
              <w:t>Adjustment to Warrant Certificate</w:t>
            </w:r>
          </w:p>
        </w:tc>
        <w:tc>
          <w:tcPr>
            <w:tcW w:w="260" w:type="dxa"/>
            <w:vAlign w:val="bottom"/>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auto"/>
              </w:rPr>
              <w:t>28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250"/>
        </w:trPr>
        <w:tc>
          <w:tcPr>
            <w:tcW w:w="1080" w:type="dxa"/>
            <w:vAlign w:val="bottom"/>
            <w:tcBorders>
              <w:top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w w:val="94"/>
              </w:rPr>
              <w:t>Section 4.06</w:t>
            </w:r>
          </w:p>
        </w:tc>
        <w:tc>
          <w:tcPr>
            <w:tcW w:w="240" w:type="dxa"/>
            <w:vAlign w:val="bottom"/>
          </w:tcPr>
          <w:p>
            <w:pPr>
              <w:spacing w:after="0"/>
              <w:rPr>
                <w:sz w:val="21"/>
                <w:szCs w:val="21"/>
                <w:color w:val="auto"/>
              </w:rPr>
            </w:pPr>
          </w:p>
        </w:tc>
        <w:tc>
          <w:tcPr>
            <w:tcW w:w="1400" w:type="dxa"/>
            <w:vAlign w:val="bottom"/>
            <w:tcBorders>
              <w:top w:val="single" w:sz="8" w:color="auto"/>
            </w:tcBorders>
            <w:gridSpan w:val="8"/>
          </w:tcPr>
          <w:p>
            <w:pPr>
              <w:spacing w:after="0" w:line="250" w:lineRule="exact"/>
              <w:rPr>
                <w:sz w:val="20"/>
                <w:szCs w:val="20"/>
                <w:color w:val="auto"/>
              </w:rPr>
            </w:pPr>
            <w:r>
              <w:rPr>
                <w:rFonts w:ascii="Times New Roman" w:cs="Times New Roman" w:eastAsia="Times New Roman" w:hAnsi="Times New Roman"/>
                <w:sz w:val="22"/>
                <w:szCs w:val="22"/>
                <w:color w:val="auto"/>
              </w:rPr>
              <w:t>Amendments.</w:t>
            </w:r>
          </w:p>
        </w:tc>
        <w:tc>
          <w:tcPr>
            <w:tcW w:w="260" w:type="dxa"/>
            <w:vAlign w:val="bottom"/>
            <w:tcBorders>
              <w:top w:val="single" w:sz="8" w:color="auto"/>
            </w:tcBorders>
            <w:gridSpan w:val="3"/>
          </w:tcPr>
          <w:p>
            <w:pPr>
              <w:jc w:val="right"/>
              <w:ind w:right="40"/>
              <w:spacing w:after="0" w:line="250" w:lineRule="exact"/>
              <w:rPr>
                <w:sz w:val="20"/>
                <w:szCs w:val="20"/>
                <w:color w:val="auto"/>
              </w:rPr>
            </w:pPr>
            <w:r>
              <w:rPr>
                <w:rFonts w:ascii="Times New Roman" w:cs="Times New Roman" w:eastAsia="Times New Roman" w:hAnsi="Times New Roman"/>
                <w:sz w:val="22"/>
                <w:szCs w:val="22"/>
                <w:color w:val="auto"/>
                <w:w w:val="90"/>
              </w:rPr>
              <w:t>28</w:t>
            </w: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452"/>
        </w:trPr>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22"/>
                <w:szCs w:val="22"/>
                <w:color w:val="auto"/>
                <w:w w:val="96"/>
              </w:rPr>
              <w:t>ARTICLE V</w:t>
            </w:r>
          </w:p>
        </w:tc>
        <w:tc>
          <w:tcPr>
            <w:tcW w:w="4260" w:type="dxa"/>
            <w:vAlign w:val="bottom"/>
            <w:gridSpan w:val="6"/>
          </w:tcPr>
          <w:p>
            <w:pPr>
              <w:spacing w:after="0"/>
              <w:rPr>
                <w:sz w:val="24"/>
                <w:szCs w:val="24"/>
                <w:color w:val="auto"/>
              </w:rPr>
            </w:pPr>
          </w:p>
        </w:tc>
      </w:tr>
      <w:tr>
        <w:trPr>
          <w:trHeight w:val="493"/>
        </w:trPr>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60" w:type="dxa"/>
            <w:vAlign w:val="bottom"/>
            <w:gridSpan w:val="34"/>
          </w:tcPr>
          <w:p>
            <w:pPr>
              <w:jc w:val="center"/>
              <w:ind w:right="2900"/>
              <w:spacing w:after="0"/>
              <w:rPr>
                <w:sz w:val="20"/>
                <w:szCs w:val="20"/>
                <w:color w:val="auto"/>
              </w:rPr>
            </w:pPr>
            <w:r>
              <w:rPr>
                <w:rFonts w:ascii="Times New Roman" w:cs="Times New Roman" w:eastAsia="Times New Roman" w:hAnsi="Times New Roman"/>
                <w:sz w:val="22"/>
                <w:szCs w:val="22"/>
                <w:color w:val="auto"/>
                <w:w w:val="96"/>
              </w:rPr>
              <w:t>REGISTRATION OF WARRANT SHARES</w:t>
            </w:r>
          </w:p>
        </w:tc>
      </w:tr>
      <w:tr>
        <w:trPr>
          <w:trHeight w:val="20"/>
        </w:trPr>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r>
      <w:tr>
        <w:trPr>
          <w:trHeight w:val="453"/>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w w:val="94"/>
              </w:rPr>
              <w:t>Section 5.01</w:t>
            </w:r>
          </w:p>
        </w:tc>
        <w:tc>
          <w:tcPr>
            <w:tcW w:w="240" w:type="dxa"/>
            <w:vAlign w:val="bottom"/>
          </w:tcPr>
          <w:p>
            <w:pPr>
              <w:spacing w:after="0"/>
              <w:rPr>
                <w:sz w:val="24"/>
                <w:szCs w:val="24"/>
                <w:color w:val="auto"/>
              </w:rPr>
            </w:pPr>
          </w:p>
        </w:tc>
        <w:tc>
          <w:tcPr>
            <w:tcW w:w="9140" w:type="dxa"/>
            <w:vAlign w:val="bottom"/>
            <w:gridSpan w:val="52"/>
          </w:tcPr>
          <w:p>
            <w:pPr>
              <w:spacing w:after="0"/>
              <w:rPr>
                <w:sz w:val="20"/>
                <w:szCs w:val="20"/>
                <w:color w:val="auto"/>
              </w:rPr>
            </w:pPr>
            <w:r>
              <w:rPr>
                <w:rFonts w:ascii="Times New Roman" w:cs="Times New Roman" w:eastAsia="Times New Roman" w:hAnsi="Times New Roman"/>
                <w:sz w:val="22"/>
                <w:szCs w:val="22"/>
                <w:color w:val="auto"/>
              </w:rPr>
              <w:t>Effectiveness of Registration Statement  29</w:t>
            </w:r>
          </w:p>
        </w:tc>
      </w:tr>
      <w:tr>
        <w:trPr>
          <w:trHeight w:val="237"/>
        </w:trPr>
        <w:tc>
          <w:tcPr>
            <w:tcW w:w="1080" w:type="dxa"/>
            <w:vAlign w:val="bottom"/>
            <w:tcBorders>
              <w:top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w w:val="94"/>
              </w:rPr>
              <w:t>Section 5.02</w:t>
            </w:r>
          </w:p>
        </w:tc>
        <w:tc>
          <w:tcPr>
            <w:tcW w:w="240" w:type="dxa"/>
            <w:vAlign w:val="bottom"/>
          </w:tcPr>
          <w:p>
            <w:pPr>
              <w:spacing w:after="0"/>
              <w:rPr>
                <w:sz w:val="20"/>
                <w:szCs w:val="20"/>
                <w:color w:val="auto"/>
              </w:rPr>
            </w:pPr>
          </w:p>
        </w:tc>
        <w:tc>
          <w:tcPr>
            <w:tcW w:w="1080" w:type="dxa"/>
            <w:vAlign w:val="bottom"/>
            <w:tcBorders>
              <w:top w:val="single" w:sz="8" w:color="auto"/>
            </w:tcBorders>
            <w:gridSpan w:val="4"/>
          </w:tcPr>
          <w:p>
            <w:pPr>
              <w:spacing w:after="0" w:line="237" w:lineRule="exact"/>
              <w:rPr>
                <w:sz w:val="20"/>
                <w:szCs w:val="20"/>
                <w:color w:val="auto"/>
              </w:rPr>
            </w:pPr>
            <w:r>
              <w:rPr>
                <w:rFonts w:ascii="Times New Roman" w:cs="Times New Roman" w:eastAsia="Times New Roman" w:hAnsi="Times New Roman"/>
                <w:sz w:val="22"/>
                <w:szCs w:val="22"/>
                <w:color w:val="auto"/>
              </w:rPr>
              <w:t>Suspension</w:t>
            </w:r>
          </w:p>
        </w:tc>
        <w:tc>
          <w:tcPr>
            <w:tcW w:w="320" w:type="dxa"/>
            <w:vAlign w:val="bottom"/>
            <w:tcBorders>
              <w:top w:val="single" w:sz="8" w:color="auto"/>
            </w:tcBorders>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auto"/>
              </w:rPr>
              <w:t>30</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37"/>
        </w:trPr>
        <w:tc>
          <w:tcPr>
            <w:tcW w:w="10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94"/>
              </w:rPr>
              <w:t>Section 5.03</w:t>
            </w:r>
          </w:p>
        </w:tc>
        <w:tc>
          <w:tcPr>
            <w:tcW w:w="240" w:type="dxa"/>
            <w:vAlign w:val="bottom"/>
          </w:tcPr>
          <w:p>
            <w:pPr>
              <w:spacing w:after="0"/>
              <w:rPr>
                <w:sz w:val="20"/>
                <w:szCs w:val="20"/>
                <w:color w:val="auto"/>
              </w:rPr>
            </w:pPr>
          </w:p>
        </w:tc>
        <w:tc>
          <w:tcPr>
            <w:tcW w:w="1400" w:type="dxa"/>
            <w:vAlign w:val="bottom"/>
            <w:gridSpan w:val="8"/>
          </w:tcPr>
          <w:p>
            <w:pPr>
              <w:spacing w:after="0" w:line="237" w:lineRule="exact"/>
              <w:rPr>
                <w:sz w:val="20"/>
                <w:szCs w:val="20"/>
                <w:color w:val="auto"/>
              </w:rPr>
            </w:pPr>
            <w:r>
              <w:rPr>
                <w:rFonts w:ascii="Times New Roman" w:cs="Times New Roman" w:eastAsia="Times New Roman" w:hAnsi="Times New Roman"/>
                <w:sz w:val="22"/>
                <w:szCs w:val="22"/>
                <w:color w:val="auto"/>
              </w:rPr>
              <w:t>Expenses  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466"/>
        </w:trPr>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22"/>
                <w:szCs w:val="22"/>
                <w:color w:val="auto"/>
                <w:w w:val="97"/>
              </w:rPr>
              <w:t>ARTICLE VI</w:t>
            </w:r>
          </w:p>
        </w:tc>
        <w:tc>
          <w:tcPr>
            <w:tcW w:w="4240" w:type="dxa"/>
            <w:vAlign w:val="bottom"/>
            <w:gridSpan w:val="5"/>
          </w:tcPr>
          <w:p>
            <w:pPr>
              <w:spacing w:after="0"/>
              <w:rPr>
                <w:sz w:val="24"/>
                <w:szCs w:val="24"/>
                <w:color w:val="auto"/>
              </w:rPr>
            </w:pPr>
          </w:p>
        </w:tc>
      </w:tr>
      <w:tr>
        <w:trPr>
          <w:trHeight w:val="493"/>
        </w:trPr>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22"/>
                <w:szCs w:val="22"/>
                <w:color w:val="auto"/>
                <w:w w:val="94"/>
              </w:rPr>
              <w:t>RESERVED</w:t>
            </w:r>
          </w:p>
        </w:tc>
        <w:tc>
          <w:tcPr>
            <w:tcW w:w="4280" w:type="dxa"/>
            <w:vAlign w:val="bottom"/>
            <w:gridSpan w:val="7"/>
          </w:tcPr>
          <w:p>
            <w:pPr>
              <w:spacing w:after="0"/>
              <w:rPr>
                <w:sz w:val="24"/>
                <w:szCs w:val="24"/>
                <w:color w:val="auto"/>
              </w:rPr>
            </w:pPr>
          </w:p>
        </w:tc>
      </w:tr>
      <w:tr>
        <w:trPr>
          <w:trHeight w:val="452"/>
        </w:trPr>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gridSpan w:val="14"/>
          </w:tcPr>
          <w:p>
            <w:pPr>
              <w:jc w:val="center"/>
              <w:ind w:right="4220"/>
              <w:spacing w:after="0"/>
              <w:rPr>
                <w:sz w:val="20"/>
                <w:szCs w:val="20"/>
                <w:color w:val="auto"/>
              </w:rPr>
            </w:pPr>
            <w:r>
              <w:rPr>
                <w:rFonts w:ascii="Times New Roman" w:cs="Times New Roman" w:eastAsia="Times New Roman" w:hAnsi="Times New Roman"/>
                <w:sz w:val="22"/>
                <w:szCs w:val="22"/>
                <w:color w:val="auto"/>
                <w:w w:val="96"/>
              </w:rPr>
              <w:t>ARTICLE VII</w:t>
            </w:r>
          </w:p>
        </w:tc>
      </w:tr>
      <w:tr>
        <w:trPr>
          <w:trHeight w:val="20"/>
        </w:trPr>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40" w:type="dxa"/>
            <w:vAlign w:val="bottom"/>
            <w:gridSpan w:val="10"/>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r>
      <w:tr>
        <w:trPr>
          <w:trHeight w:val="493"/>
        </w:trPr>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gridSpan w:val="19"/>
          </w:tcPr>
          <w:p>
            <w:pPr>
              <w:jc w:val="center"/>
              <w:ind w:right="3900"/>
              <w:spacing w:after="0"/>
              <w:rPr>
                <w:sz w:val="20"/>
                <w:szCs w:val="20"/>
                <w:color w:val="auto"/>
              </w:rPr>
            </w:pPr>
            <w:r>
              <w:rPr>
                <w:rFonts w:ascii="Times New Roman" w:cs="Times New Roman" w:eastAsia="Times New Roman" w:hAnsi="Times New Roman"/>
                <w:sz w:val="22"/>
                <w:szCs w:val="22"/>
                <w:color w:val="auto"/>
                <w:w w:val="97"/>
              </w:rPr>
              <w:t>WARRANT AGENT</w:t>
            </w:r>
          </w:p>
        </w:tc>
      </w:tr>
      <w:tr>
        <w:trPr>
          <w:trHeight w:val="452"/>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w w:val="94"/>
              </w:rPr>
              <w:t>Section 7.01</w:t>
            </w:r>
          </w:p>
        </w:tc>
        <w:tc>
          <w:tcPr>
            <w:tcW w:w="240" w:type="dxa"/>
            <w:vAlign w:val="bottom"/>
          </w:tcPr>
          <w:p>
            <w:pPr>
              <w:spacing w:after="0"/>
              <w:rPr>
                <w:sz w:val="24"/>
                <w:szCs w:val="24"/>
                <w:color w:val="auto"/>
              </w:rPr>
            </w:pPr>
          </w:p>
        </w:tc>
        <w:tc>
          <w:tcPr>
            <w:tcW w:w="2680" w:type="dxa"/>
            <w:vAlign w:val="bottom"/>
            <w:gridSpan w:val="21"/>
          </w:tcPr>
          <w:p>
            <w:pPr>
              <w:spacing w:after="0"/>
              <w:rPr>
                <w:sz w:val="20"/>
                <w:szCs w:val="20"/>
                <w:color w:val="auto"/>
              </w:rPr>
            </w:pPr>
            <w:r>
              <w:rPr>
                <w:rFonts w:ascii="Times New Roman" w:cs="Times New Roman" w:eastAsia="Times New Roman" w:hAnsi="Times New Roman"/>
                <w:sz w:val="22"/>
                <w:szCs w:val="22"/>
                <w:color w:val="auto"/>
                <w:w w:val="95"/>
              </w:rPr>
              <w:t>Appointment of Warrant Agent</w:t>
            </w:r>
          </w:p>
        </w:tc>
        <w:tc>
          <w:tcPr>
            <w:tcW w:w="42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240" w:type="dxa"/>
            <w:vAlign w:val="bottom"/>
            <w:gridSpan w:val="7"/>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50"/>
        </w:trPr>
        <w:tc>
          <w:tcPr>
            <w:tcW w:w="108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w w:val="94"/>
              </w:rPr>
              <w:t>Section 7.02</w:t>
            </w:r>
          </w:p>
        </w:tc>
        <w:tc>
          <w:tcPr>
            <w:tcW w:w="240" w:type="dxa"/>
            <w:vAlign w:val="bottom"/>
          </w:tcPr>
          <w:p>
            <w:pPr>
              <w:spacing w:after="0"/>
              <w:rPr>
                <w:sz w:val="21"/>
                <w:szCs w:val="21"/>
                <w:color w:val="auto"/>
              </w:rPr>
            </w:pPr>
          </w:p>
        </w:tc>
        <w:tc>
          <w:tcPr>
            <w:tcW w:w="3100" w:type="dxa"/>
            <w:vAlign w:val="bottom"/>
            <w:gridSpan w:val="27"/>
          </w:tcPr>
          <w:p>
            <w:pPr>
              <w:spacing w:after="0" w:line="250" w:lineRule="exact"/>
              <w:rPr>
                <w:sz w:val="20"/>
                <w:szCs w:val="20"/>
                <w:color w:val="auto"/>
              </w:rPr>
            </w:pPr>
            <w:r>
              <w:rPr>
                <w:rFonts w:ascii="Times New Roman" w:cs="Times New Roman" w:eastAsia="Times New Roman" w:hAnsi="Times New Roman"/>
                <w:sz w:val="22"/>
                <w:szCs w:val="22"/>
                <w:color w:val="auto"/>
                <w:w w:val="96"/>
              </w:rPr>
              <w:t>Rights and Duties of Warrant Agent</w:t>
            </w:r>
          </w:p>
        </w:tc>
        <w:tc>
          <w:tcPr>
            <w:tcW w:w="200" w:type="dxa"/>
            <w:vAlign w:val="bottom"/>
            <w:gridSpan w:val="4"/>
          </w:tcPr>
          <w:p>
            <w:pPr>
              <w:spacing w:after="0"/>
              <w:rPr>
                <w:sz w:val="21"/>
                <w:szCs w:val="21"/>
                <w:color w:val="auto"/>
              </w:rPr>
            </w:pPr>
          </w:p>
        </w:tc>
        <w:tc>
          <w:tcPr>
            <w:tcW w:w="320" w:type="dxa"/>
            <w:vAlign w:val="bottom"/>
            <w:gridSpan w:val="6"/>
          </w:tcPr>
          <w:p>
            <w:pPr>
              <w:jc w:val="right"/>
              <w:ind w:right="100"/>
              <w:spacing w:after="0" w:line="250" w:lineRule="exact"/>
              <w:rPr>
                <w:sz w:val="20"/>
                <w:szCs w:val="20"/>
                <w:color w:val="auto"/>
              </w:rPr>
            </w:pPr>
            <w:r>
              <w:rPr>
                <w:rFonts w:ascii="Times New Roman" w:cs="Times New Roman" w:eastAsia="Times New Roman" w:hAnsi="Times New Roman"/>
                <w:sz w:val="22"/>
                <w:szCs w:val="22"/>
                <w:color w:val="auto"/>
                <w:w w:val="90"/>
              </w:rPr>
              <w:t>30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240" w:type="dxa"/>
            <w:vAlign w:val="bottom"/>
            <w:gridSpan w:val="7"/>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37"/>
        </w:trPr>
        <w:tc>
          <w:tcPr>
            <w:tcW w:w="10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94"/>
              </w:rPr>
              <w:t>Section 7.03</w:t>
            </w:r>
          </w:p>
        </w:tc>
        <w:tc>
          <w:tcPr>
            <w:tcW w:w="240" w:type="dxa"/>
            <w:vAlign w:val="bottom"/>
          </w:tcPr>
          <w:p>
            <w:pPr>
              <w:spacing w:after="0"/>
              <w:rPr>
                <w:sz w:val="20"/>
                <w:szCs w:val="20"/>
                <w:color w:val="auto"/>
              </w:rPr>
            </w:pPr>
          </w:p>
        </w:tc>
        <w:tc>
          <w:tcPr>
            <w:tcW w:w="3100" w:type="dxa"/>
            <w:vAlign w:val="bottom"/>
            <w:gridSpan w:val="27"/>
          </w:tcPr>
          <w:p>
            <w:pPr>
              <w:spacing w:after="0" w:line="237" w:lineRule="exact"/>
              <w:rPr>
                <w:sz w:val="20"/>
                <w:szCs w:val="20"/>
                <w:color w:val="auto"/>
              </w:rPr>
            </w:pPr>
            <w:r>
              <w:rPr>
                <w:rFonts w:ascii="Times New Roman" w:cs="Times New Roman" w:eastAsia="Times New Roman" w:hAnsi="Times New Roman"/>
                <w:sz w:val="22"/>
                <w:szCs w:val="22"/>
                <w:color w:val="auto"/>
                <w:w w:val="97"/>
              </w:rPr>
              <w:t>Individual Rights of Warrant Agent</w:t>
            </w:r>
          </w:p>
        </w:tc>
        <w:tc>
          <w:tcPr>
            <w:tcW w:w="420" w:type="dxa"/>
            <w:vAlign w:val="bottom"/>
            <w:gridSpan w:val="9"/>
          </w:tcPr>
          <w:p>
            <w:pPr>
              <w:jc w:val="right"/>
              <w:ind w:right="40"/>
              <w:spacing w:after="0" w:line="237" w:lineRule="exact"/>
              <w:rPr>
                <w:sz w:val="20"/>
                <w:szCs w:val="20"/>
                <w:color w:val="auto"/>
              </w:rPr>
            </w:pPr>
            <w:r>
              <w:rPr>
                <w:rFonts w:ascii="Times New Roman" w:cs="Times New Roman" w:eastAsia="Times New Roman" w:hAnsi="Times New Roman"/>
                <w:sz w:val="22"/>
                <w:szCs w:val="22"/>
                <w:color w:val="auto"/>
              </w:rPr>
              <w:t>32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236"/>
        </w:trPr>
        <w:tc>
          <w:tcPr>
            <w:tcW w:w="1080" w:type="dxa"/>
            <w:vAlign w:val="bottom"/>
            <w:tcBorders>
              <w:top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w w:val="94"/>
              </w:rPr>
              <w:t>Section 7.04</w:t>
            </w:r>
          </w:p>
        </w:tc>
        <w:tc>
          <w:tcPr>
            <w:tcW w:w="240" w:type="dxa"/>
            <w:vAlign w:val="bottom"/>
          </w:tcPr>
          <w:p>
            <w:pPr>
              <w:spacing w:after="0"/>
              <w:rPr>
                <w:sz w:val="20"/>
                <w:szCs w:val="20"/>
                <w:color w:val="auto"/>
              </w:rPr>
            </w:pPr>
          </w:p>
        </w:tc>
        <w:tc>
          <w:tcPr>
            <w:tcW w:w="3100" w:type="dxa"/>
            <w:vAlign w:val="bottom"/>
            <w:tcBorders>
              <w:top w:val="single" w:sz="8" w:color="auto"/>
            </w:tcBorders>
            <w:gridSpan w:val="27"/>
          </w:tcPr>
          <w:p>
            <w:pPr>
              <w:spacing w:after="0" w:line="237" w:lineRule="exact"/>
              <w:rPr>
                <w:sz w:val="20"/>
                <w:szCs w:val="20"/>
                <w:color w:val="auto"/>
              </w:rPr>
            </w:pPr>
            <w:r>
              <w:rPr>
                <w:rFonts w:ascii="Times New Roman" w:cs="Times New Roman" w:eastAsia="Times New Roman" w:hAnsi="Times New Roman"/>
                <w:sz w:val="22"/>
                <w:szCs w:val="22"/>
                <w:color w:val="auto"/>
              </w:rPr>
              <w:t>Warrant Agent’s Disclaimer  32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240" w:type="dxa"/>
            <w:vAlign w:val="bottom"/>
            <w:gridSpan w:val="7"/>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37"/>
        </w:trPr>
        <w:tc>
          <w:tcPr>
            <w:tcW w:w="10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94"/>
              </w:rPr>
              <w:t>Section 7.05</w:t>
            </w:r>
          </w:p>
        </w:tc>
        <w:tc>
          <w:tcPr>
            <w:tcW w:w="240" w:type="dxa"/>
            <w:vAlign w:val="bottom"/>
          </w:tcPr>
          <w:p>
            <w:pPr>
              <w:spacing w:after="0"/>
              <w:rPr>
                <w:sz w:val="20"/>
                <w:szCs w:val="20"/>
                <w:color w:val="auto"/>
              </w:rPr>
            </w:pPr>
          </w:p>
        </w:tc>
        <w:tc>
          <w:tcPr>
            <w:tcW w:w="2540" w:type="dxa"/>
            <w:vAlign w:val="bottom"/>
            <w:gridSpan w:val="19"/>
          </w:tcPr>
          <w:p>
            <w:pPr>
              <w:spacing w:after="0" w:line="237" w:lineRule="exact"/>
              <w:rPr>
                <w:sz w:val="20"/>
                <w:szCs w:val="20"/>
                <w:color w:val="auto"/>
              </w:rPr>
            </w:pPr>
            <w:r>
              <w:rPr>
                <w:rFonts w:ascii="Times New Roman" w:cs="Times New Roman" w:eastAsia="Times New Roman" w:hAnsi="Times New Roman"/>
                <w:sz w:val="22"/>
                <w:szCs w:val="22"/>
                <w:color w:val="auto"/>
                <w:w w:val="96"/>
              </w:rPr>
              <w:t>Compensation and Indemnity</w:t>
            </w:r>
          </w:p>
        </w:tc>
        <w:tc>
          <w:tcPr>
            <w:tcW w:w="140" w:type="dxa"/>
            <w:vAlign w:val="bottom"/>
            <w:gridSpan w:val="2"/>
          </w:tcPr>
          <w:p>
            <w:pPr>
              <w:spacing w:after="0"/>
              <w:rPr>
                <w:sz w:val="20"/>
                <w:szCs w:val="20"/>
                <w:color w:val="auto"/>
              </w:rPr>
            </w:pPr>
          </w:p>
        </w:tc>
        <w:tc>
          <w:tcPr>
            <w:tcW w:w="30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auto"/>
              </w:rPr>
              <w:t>32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240" w:type="dxa"/>
            <w:vAlign w:val="bottom"/>
            <w:gridSpan w:val="7"/>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37"/>
        </w:trPr>
        <w:tc>
          <w:tcPr>
            <w:tcW w:w="10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94"/>
              </w:rPr>
              <w:t>Section 7.06</w:t>
            </w:r>
          </w:p>
        </w:tc>
        <w:tc>
          <w:tcPr>
            <w:tcW w:w="240" w:type="dxa"/>
            <w:vAlign w:val="bottom"/>
          </w:tcPr>
          <w:p>
            <w:pPr>
              <w:spacing w:after="0"/>
              <w:rPr>
                <w:sz w:val="20"/>
                <w:szCs w:val="20"/>
                <w:color w:val="auto"/>
              </w:rPr>
            </w:pPr>
          </w:p>
        </w:tc>
        <w:tc>
          <w:tcPr>
            <w:tcW w:w="2680" w:type="dxa"/>
            <w:vAlign w:val="bottom"/>
            <w:gridSpan w:val="21"/>
          </w:tcPr>
          <w:p>
            <w:pPr>
              <w:spacing w:after="0" w:line="237" w:lineRule="exact"/>
              <w:rPr>
                <w:sz w:val="20"/>
                <w:szCs w:val="20"/>
                <w:color w:val="auto"/>
              </w:rPr>
            </w:pPr>
            <w:r>
              <w:rPr>
                <w:rFonts w:ascii="Times New Roman" w:cs="Times New Roman" w:eastAsia="Times New Roman" w:hAnsi="Times New Roman"/>
                <w:sz w:val="22"/>
                <w:szCs w:val="22"/>
                <w:color w:val="auto"/>
              </w:rPr>
              <w:t>Successor Warrant Agent  33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250"/>
        </w:trPr>
        <w:tc>
          <w:tcPr>
            <w:tcW w:w="1080" w:type="dxa"/>
            <w:vAlign w:val="bottom"/>
            <w:tcBorders>
              <w:top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w w:val="94"/>
              </w:rPr>
              <w:t>Section 7.07</w:t>
            </w:r>
          </w:p>
        </w:tc>
        <w:tc>
          <w:tcPr>
            <w:tcW w:w="240" w:type="dxa"/>
            <w:vAlign w:val="bottom"/>
          </w:tcPr>
          <w:p>
            <w:pPr>
              <w:spacing w:after="0"/>
              <w:rPr>
                <w:sz w:val="21"/>
                <w:szCs w:val="21"/>
                <w:color w:val="auto"/>
              </w:rPr>
            </w:pPr>
          </w:p>
        </w:tc>
        <w:tc>
          <w:tcPr>
            <w:tcW w:w="1400" w:type="dxa"/>
            <w:vAlign w:val="bottom"/>
            <w:tcBorders>
              <w:top w:val="single" w:sz="8" w:color="auto"/>
            </w:tcBorders>
            <w:gridSpan w:val="8"/>
          </w:tcPr>
          <w:p>
            <w:pPr>
              <w:spacing w:after="0" w:line="250" w:lineRule="exact"/>
              <w:rPr>
                <w:sz w:val="20"/>
                <w:szCs w:val="20"/>
                <w:color w:val="auto"/>
              </w:rPr>
            </w:pPr>
            <w:r>
              <w:rPr>
                <w:rFonts w:ascii="Times New Roman" w:cs="Times New Roman" w:eastAsia="Times New Roman" w:hAnsi="Times New Roman"/>
                <w:sz w:val="22"/>
                <w:szCs w:val="22"/>
                <w:color w:val="auto"/>
              </w:rPr>
              <w:t>Bank Accounts</w:t>
            </w:r>
          </w:p>
        </w:tc>
        <w:tc>
          <w:tcPr>
            <w:tcW w:w="360" w:type="dxa"/>
            <w:vAlign w:val="bottom"/>
            <w:tcBorders>
              <w:top w:val="single" w:sz="8" w:color="auto"/>
            </w:tcBorders>
            <w:gridSpan w:val="5"/>
          </w:tcPr>
          <w:p>
            <w:pPr>
              <w:jc w:val="right"/>
              <w:ind w:right="20"/>
              <w:spacing w:after="0" w:line="250" w:lineRule="exact"/>
              <w:rPr>
                <w:sz w:val="20"/>
                <w:szCs w:val="20"/>
                <w:color w:val="auto"/>
              </w:rPr>
            </w:pPr>
            <w:r>
              <w:rPr>
                <w:rFonts w:ascii="Times New Roman" w:cs="Times New Roman" w:eastAsia="Times New Roman" w:hAnsi="Times New Roman"/>
                <w:sz w:val="22"/>
                <w:szCs w:val="22"/>
                <w:color w:val="auto"/>
              </w:rPr>
              <w:t>34</w:t>
            </w:r>
          </w:p>
        </w:tc>
        <w:tc>
          <w:tcPr>
            <w:tcW w:w="1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240" w:type="dxa"/>
            <w:vAlign w:val="bottom"/>
            <w:gridSpan w:val="7"/>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gridSpan w:val="2"/>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36"/>
        </w:trPr>
        <w:tc>
          <w:tcPr>
            <w:tcW w:w="1080" w:type="dxa"/>
            <w:vAlign w:val="bottom"/>
            <w:tcBorders>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w w:val="94"/>
              </w:rPr>
              <w:t>Section 7.08</w:t>
            </w:r>
          </w:p>
        </w:tc>
        <w:tc>
          <w:tcPr>
            <w:tcW w:w="240" w:type="dxa"/>
            <w:vAlign w:val="bottom"/>
          </w:tcPr>
          <w:p>
            <w:pPr>
              <w:spacing w:after="0"/>
              <w:rPr>
                <w:sz w:val="20"/>
                <w:szCs w:val="20"/>
                <w:color w:val="auto"/>
              </w:rPr>
            </w:pPr>
          </w:p>
        </w:tc>
        <w:tc>
          <w:tcPr>
            <w:tcW w:w="3020" w:type="dxa"/>
            <w:vAlign w:val="bottom"/>
            <w:tcBorders>
              <w:bottom w:val="single" w:sz="8" w:color="auto"/>
            </w:tcBorders>
            <w:gridSpan w:val="26"/>
          </w:tcPr>
          <w:p>
            <w:pPr>
              <w:spacing w:after="0" w:line="237" w:lineRule="exact"/>
              <w:rPr>
                <w:sz w:val="20"/>
                <w:szCs w:val="20"/>
                <w:color w:val="auto"/>
              </w:rPr>
            </w:pPr>
            <w:r>
              <w:rPr>
                <w:rFonts w:ascii="Times New Roman" w:cs="Times New Roman" w:eastAsia="Times New Roman" w:hAnsi="Times New Roman"/>
                <w:sz w:val="22"/>
                <w:szCs w:val="22"/>
                <w:color w:val="auto"/>
                <w:w w:val="96"/>
              </w:rPr>
              <w:t>Delivery of Warrant Exercise Price</w:t>
            </w:r>
          </w:p>
        </w:tc>
        <w:tc>
          <w:tcPr>
            <w:tcW w:w="8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220" w:type="dxa"/>
            <w:vAlign w:val="bottom"/>
            <w:tcBorders>
              <w:bottom w:val="single" w:sz="8" w:color="auto"/>
            </w:tcBorders>
            <w:gridSpan w:val="6"/>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35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237"/>
        </w:trPr>
        <w:tc>
          <w:tcPr>
            <w:tcW w:w="10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94"/>
              </w:rPr>
              <w:t>Section 7.09</w:t>
            </w:r>
          </w:p>
        </w:tc>
        <w:tc>
          <w:tcPr>
            <w:tcW w:w="240" w:type="dxa"/>
            <w:vAlign w:val="bottom"/>
          </w:tcPr>
          <w:p>
            <w:pPr>
              <w:spacing w:after="0"/>
              <w:rPr>
                <w:sz w:val="20"/>
                <w:szCs w:val="20"/>
                <w:color w:val="auto"/>
              </w:rPr>
            </w:pPr>
          </w:p>
        </w:tc>
        <w:tc>
          <w:tcPr>
            <w:tcW w:w="1660" w:type="dxa"/>
            <w:vAlign w:val="bottom"/>
            <w:gridSpan w:val="11"/>
          </w:tcPr>
          <w:p>
            <w:pPr>
              <w:spacing w:after="0" w:line="237" w:lineRule="exact"/>
              <w:rPr>
                <w:sz w:val="20"/>
                <w:szCs w:val="20"/>
                <w:color w:val="auto"/>
              </w:rPr>
            </w:pPr>
            <w:r>
              <w:rPr>
                <w:rFonts w:ascii="Times New Roman" w:cs="Times New Roman" w:eastAsia="Times New Roman" w:hAnsi="Times New Roman"/>
                <w:sz w:val="22"/>
                <w:szCs w:val="22"/>
                <w:color w:val="auto"/>
                <w:w w:val="96"/>
              </w:rPr>
              <w:t>Further Assurances</w:t>
            </w:r>
          </w:p>
        </w:tc>
        <w:tc>
          <w:tcPr>
            <w:tcW w:w="100" w:type="dxa"/>
            <w:vAlign w:val="bottom"/>
            <w:gridSpan w:val="2"/>
          </w:tcPr>
          <w:p>
            <w:pPr>
              <w:spacing w:after="0"/>
              <w:rPr>
                <w:sz w:val="20"/>
                <w:szCs w:val="20"/>
                <w:color w:val="auto"/>
              </w:rPr>
            </w:pPr>
          </w:p>
        </w:tc>
        <w:tc>
          <w:tcPr>
            <w:tcW w:w="420" w:type="dxa"/>
            <w:vAlign w:val="bottom"/>
            <w:gridSpan w:val="3"/>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35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240" w:type="dxa"/>
            <w:vAlign w:val="bottom"/>
            <w:gridSpan w:val="7"/>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36"/>
        </w:trPr>
        <w:tc>
          <w:tcPr>
            <w:tcW w:w="10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94"/>
              </w:rPr>
              <w:t>Section 7.10</w:t>
            </w:r>
          </w:p>
        </w:tc>
        <w:tc>
          <w:tcPr>
            <w:tcW w:w="240" w:type="dxa"/>
            <w:vAlign w:val="bottom"/>
          </w:tcPr>
          <w:p>
            <w:pPr>
              <w:spacing w:after="0"/>
              <w:rPr>
                <w:sz w:val="20"/>
                <w:szCs w:val="20"/>
                <w:color w:val="auto"/>
              </w:rPr>
            </w:pPr>
          </w:p>
        </w:tc>
        <w:tc>
          <w:tcPr>
            <w:tcW w:w="1400" w:type="dxa"/>
            <w:vAlign w:val="bottom"/>
            <w:gridSpan w:val="8"/>
          </w:tcPr>
          <w:p>
            <w:pPr>
              <w:spacing w:after="0" w:line="237" w:lineRule="exact"/>
              <w:rPr>
                <w:sz w:val="20"/>
                <w:szCs w:val="20"/>
                <w:color w:val="auto"/>
              </w:rPr>
            </w:pPr>
            <w:r>
              <w:rPr>
                <w:rFonts w:ascii="Times New Roman" w:cs="Times New Roman" w:eastAsia="Times New Roman" w:hAnsi="Times New Roman"/>
                <w:sz w:val="22"/>
                <w:szCs w:val="22"/>
                <w:color w:val="auto"/>
              </w:rPr>
              <w:t>Force Majeure</w:t>
            </w:r>
          </w:p>
        </w:tc>
        <w:tc>
          <w:tcPr>
            <w:tcW w:w="28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auto"/>
              </w:rPr>
              <w:t>35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7"/>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37"/>
        </w:trPr>
        <w:tc>
          <w:tcPr>
            <w:tcW w:w="10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94"/>
              </w:rPr>
              <w:t>Section 7.11</w:t>
            </w:r>
          </w:p>
        </w:tc>
        <w:tc>
          <w:tcPr>
            <w:tcW w:w="240" w:type="dxa"/>
            <w:vAlign w:val="bottom"/>
          </w:tcPr>
          <w:p>
            <w:pPr>
              <w:spacing w:after="0"/>
              <w:rPr>
                <w:sz w:val="20"/>
                <w:szCs w:val="20"/>
                <w:color w:val="auto"/>
              </w:rPr>
            </w:pPr>
          </w:p>
        </w:tc>
        <w:tc>
          <w:tcPr>
            <w:tcW w:w="1400" w:type="dxa"/>
            <w:vAlign w:val="bottom"/>
            <w:gridSpan w:val="8"/>
          </w:tcPr>
          <w:p>
            <w:pPr>
              <w:spacing w:after="0" w:line="237" w:lineRule="exact"/>
              <w:rPr>
                <w:sz w:val="20"/>
                <w:szCs w:val="20"/>
                <w:color w:val="auto"/>
              </w:rPr>
            </w:pPr>
            <w:r>
              <w:rPr>
                <w:rFonts w:ascii="Times New Roman" w:cs="Times New Roman" w:eastAsia="Times New Roman" w:hAnsi="Times New Roman"/>
                <w:sz w:val="22"/>
                <w:szCs w:val="22"/>
                <w:color w:val="auto"/>
              </w:rPr>
              <w:t>Confidentiality</w:t>
            </w:r>
          </w:p>
        </w:tc>
        <w:tc>
          <w:tcPr>
            <w:tcW w:w="28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auto"/>
              </w:rPr>
              <w:t>35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460"/>
          </w:cols>
          <w:pgMar w:left="320" w:top="126" w:right="11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22"/>
                <w:szCs w:val="22"/>
                <w:color w:val="auto"/>
                <w:w w:val="96"/>
              </w:rPr>
              <w:t>ARTICLE</w:t>
            </w:r>
          </w:p>
        </w:tc>
        <w:tc>
          <w:tcPr>
            <w:tcW w:w="1720" w:type="dxa"/>
            <w:vAlign w:val="bottom"/>
            <w:gridSpan w:val="4"/>
          </w:tcPr>
          <w:p>
            <w:pPr>
              <w:spacing w:after="0"/>
              <w:rPr>
                <w:sz w:val="22"/>
                <w:szCs w:val="22"/>
                <w:color w:val="auto"/>
              </w:rPr>
            </w:pPr>
          </w:p>
        </w:tc>
      </w:tr>
      <w:tr>
        <w:trPr>
          <w:trHeight w:val="453"/>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6"/>
          </w:tcPr>
          <w:p>
            <w:pPr>
              <w:jc w:val="center"/>
              <w:ind w:right="2020"/>
              <w:spacing w:after="0"/>
              <w:rPr>
                <w:sz w:val="20"/>
                <w:szCs w:val="20"/>
                <w:color w:val="auto"/>
              </w:rPr>
            </w:pPr>
            <w:r>
              <w:rPr>
                <w:rFonts w:ascii="Times New Roman" w:cs="Times New Roman" w:eastAsia="Times New Roman" w:hAnsi="Times New Roman"/>
                <w:sz w:val="22"/>
                <w:szCs w:val="22"/>
                <w:color w:val="auto"/>
                <w:w w:val="94"/>
              </w:rPr>
              <w:t>VIII</w:t>
            </w: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93"/>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00" w:type="dxa"/>
            <w:vAlign w:val="bottom"/>
            <w:gridSpan w:val="8"/>
          </w:tcPr>
          <w:p>
            <w:pPr>
              <w:jc w:val="center"/>
              <w:ind w:right="1300"/>
              <w:spacing w:after="0"/>
              <w:rPr>
                <w:sz w:val="20"/>
                <w:szCs w:val="20"/>
                <w:color w:val="auto"/>
              </w:rPr>
            </w:pPr>
            <w:r>
              <w:rPr>
                <w:rFonts w:ascii="Times New Roman" w:cs="Times New Roman" w:eastAsia="Times New Roman" w:hAnsi="Times New Roman"/>
                <w:sz w:val="22"/>
                <w:szCs w:val="22"/>
                <w:color w:val="auto"/>
                <w:w w:val="98"/>
              </w:rPr>
              <w:t>MISCELLANEOUS</w:t>
            </w:r>
          </w:p>
        </w:tc>
      </w:tr>
      <w:tr>
        <w:trPr>
          <w:trHeight w:val="466"/>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w w:val="96"/>
              </w:rPr>
              <w:t>Section 8.01</w:t>
            </w:r>
          </w:p>
        </w:tc>
        <w:tc>
          <w:tcPr>
            <w:tcW w:w="220" w:type="dxa"/>
            <w:vAlign w:val="bottom"/>
          </w:tcPr>
          <w:p>
            <w:pPr>
              <w:spacing w:after="0"/>
              <w:rPr>
                <w:sz w:val="24"/>
                <w:szCs w:val="24"/>
                <w:color w:val="auto"/>
              </w:rPr>
            </w:pPr>
          </w:p>
        </w:tc>
        <w:tc>
          <w:tcPr>
            <w:tcW w:w="172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Persons Benefiting</w:t>
            </w:r>
          </w:p>
        </w:tc>
        <w:tc>
          <w:tcPr>
            <w:tcW w:w="420" w:type="dxa"/>
            <w:vAlign w:val="bottom"/>
            <w:gridSpan w:val="4"/>
          </w:tcPr>
          <w:p>
            <w:pPr>
              <w:jc w:val="right"/>
              <w:ind w:right="60"/>
              <w:spacing w:after="0"/>
              <w:rPr>
                <w:sz w:val="20"/>
                <w:szCs w:val="20"/>
                <w:color w:val="auto"/>
              </w:rPr>
            </w:pPr>
            <w:r>
              <w:rPr>
                <w:rFonts w:ascii="Times New Roman" w:cs="Times New Roman" w:eastAsia="Times New Roman" w:hAnsi="Times New Roman"/>
                <w:sz w:val="22"/>
                <w:szCs w:val="22"/>
                <w:color w:val="auto"/>
              </w:rPr>
              <w:t>35</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6"/>
        </w:trPr>
        <w:tc>
          <w:tcPr>
            <w:tcW w:w="10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96"/>
              </w:rPr>
              <w:t>Section 8.02</w:t>
            </w:r>
          </w:p>
        </w:tc>
        <w:tc>
          <w:tcPr>
            <w:tcW w:w="220" w:type="dxa"/>
            <w:vAlign w:val="bottom"/>
          </w:tcPr>
          <w:p>
            <w:pPr>
              <w:spacing w:after="0"/>
              <w:rPr>
                <w:sz w:val="20"/>
                <w:szCs w:val="20"/>
                <w:color w:val="auto"/>
              </w:rPr>
            </w:pPr>
          </w:p>
        </w:tc>
        <w:tc>
          <w:tcPr>
            <w:tcW w:w="1640" w:type="dxa"/>
            <w:vAlign w:val="bottom"/>
            <w:gridSpan w:val="11"/>
          </w:tcPr>
          <w:p>
            <w:pPr>
              <w:spacing w:after="0" w:line="237" w:lineRule="exact"/>
              <w:rPr>
                <w:sz w:val="20"/>
                <w:szCs w:val="20"/>
                <w:color w:val="auto"/>
              </w:rPr>
            </w:pPr>
            <w:r>
              <w:rPr>
                <w:rFonts w:ascii="Times New Roman" w:cs="Times New Roman" w:eastAsia="Times New Roman" w:hAnsi="Times New Roman"/>
                <w:sz w:val="22"/>
                <w:szCs w:val="22"/>
                <w:color w:val="auto"/>
              </w:rPr>
              <w:t>Rights of Holders</w:t>
            </w:r>
          </w:p>
        </w:tc>
        <w:tc>
          <w:tcPr>
            <w:tcW w:w="80" w:type="dxa"/>
            <w:vAlign w:val="bottom"/>
          </w:tcPr>
          <w:p>
            <w:pPr>
              <w:spacing w:after="0"/>
              <w:rPr>
                <w:sz w:val="20"/>
                <w:szCs w:val="20"/>
                <w:color w:val="auto"/>
              </w:rPr>
            </w:pPr>
          </w:p>
        </w:tc>
        <w:tc>
          <w:tcPr>
            <w:tcW w:w="240" w:type="dxa"/>
            <w:vAlign w:val="bottom"/>
            <w:gridSpan w:val="2"/>
          </w:tcPr>
          <w:p>
            <w:pPr>
              <w:ind w:left="40"/>
              <w:spacing w:after="0" w:line="237" w:lineRule="exact"/>
              <w:rPr>
                <w:sz w:val="20"/>
                <w:szCs w:val="20"/>
                <w:color w:val="auto"/>
              </w:rPr>
            </w:pPr>
            <w:r>
              <w:rPr>
                <w:rFonts w:ascii="Times New Roman" w:cs="Times New Roman" w:eastAsia="Times New Roman" w:hAnsi="Times New Roman"/>
                <w:sz w:val="22"/>
                <w:szCs w:val="22"/>
                <w:color w:val="auto"/>
                <w:w w:val="72"/>
              </w:rPr>
              <w:t>35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1080" w:type="dxa"/>
            <w:vAlign w:val="bottom"/>
            <w:tcBorders>
              <w:top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w w:val="96"/>
              </w:rPr>
              <w:t>Section 8.03</w:t>
            </w:r>
          </w:p>
        </w:tc>
        <w:tc>
          <w:tcPr>
            <w:tcW w:w="220" w:type="dxa"/>
            <w:vAlign w:val="bottom"/>
          </w:tcPr>
          <w:p>
            <w:pPr>
              <w:spacing w:after="0"/>
              <w:rPr>
                <w:sz w:val="20"/>
                <w:szCs w:val="20"/>
                <w:color w:val="auto"/>
              </w:rPr>
            </w:pPr>
          </w:p>
        </w:tc>
        <w:tc>
          <w:tcPr>
            <w:tcW w:w="1160" w:type="dxa"/>
            <w:vAlign w:val="bottom"/>
            <w:tcBorders>
              <w:top w:val="single" w:sz="8" w:color="auto"/>
            </w:tcBorders>
            <w:gridSpan w:val="6"/>
          </w:tcPr>
          <w:p>
            <w:pPr>
              <w:spacing w:after="0" w:line="237" w:lineRule="exact"/>
              <w:rPr>
                <w:sz w:val="20"/>
                <w:szCs w:val="20"/>
                <w:color w:val="auto"/>
              </w:rPr>
            </w:pPr>
            <w:r>
              <w:rPr>
                <w:rFonts w:ascii="Times New Roman" w:cs="Times New Roman" w:eastAsia="Times New Roman" w:hAnsi="Times New Roman"/>
                <w:sz w:val="22"/>
                <w:szCs w:val="22"/>
                <w:color w:val="auto"/>
              </w:rPr>
              <w:t>Notices  36</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0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96"/>
              </w:rPr>
              <w:t>Section 8.04</w:t>
            </w:r>
          </w:p>
        </w:tc>
        <w:tc>
          <w:tcPr>
            <w:tcW w:w="220" w:type="dxa"/>
            <w:vAlign w:val="bottom"/>
          </w:tcPr>
          <w:p>
            <w:pPr>
              <w:spacing w:after="0"/>
              <w:rPr>
                <w:sz w:val="20"/>
                <w:szCs w:val="20"/>
                <w:color w:val="auto"/>
              </w:rPr>
            </w:pPr>
          </w:p>
        </w:tc>
        <w:tc>
          <w:tcPr>
            <w:tcW w:w="6520" w:type="dxa"/>
            <w:vAlign w:val="bottom"/>
            <w:gridSpan w:val="28"/>
          </w:tcPr>
          <w:p>
            <w:pPr>
              <w:spacing w:after="0" w:line="237" w:lineRule="exact"/>
              <w:rPr>
                <w:sz w:val="20"/>
                <w:szCs w:val="20"/>
                <w:color w:val="auto"/>
              </w:rPr>
            </w:pPr>
            <w:r>
              <w:rPr>
                <w:rFonts w:ascii="Times New Roman" w:cs="Times New Roman" w:eastAsia="Times New Roman" w:hAnsi="Times New Roman"/>
                <w:sz w:val="22"/>
                <w:szCs w:val="22"/>
                <w:color w:val="auto"/>
              </w:rPr>
              <w:t>Governing Law  37</w:t>
            </w:r>
          </w:p>
        </w:tc>
      </w:tr>
      <w:tr>
        <w:trPr>
          <w:trHeight w:val="20"/>
        </w:trPr>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0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96"/>
              </w:rPr>
              <w:t>Section 8.05</w:t>
            </w:r>
          </w:p>
        </w:tc>
        <w:tc>
          <w:tcPr>
            <w:tcW w:w="220" w:type="dxa"/>
            <w:vAlign w:val="bottom"/>
          </w:tcPr>
          <w:p>
            <w:pPr>
              <w:spacing w:after="0"/>
              <w:rPr>
                <w:sz w:val="20"/>
                <w:szCs w:val="20"/>
                <w:color w:val="auto"/>
              </w:rPr>
            </w:pPr>
          </w:p>
        </w:tc>
        <w:tc>
          <w:tcPr>
            <w:tcW w:w="960" w:type="dxa"/>
            <w:vAlign w:val="bottom"/>
            <w:gridSpan w:val="3"/>
          </w:tcPr>
          <w:p>
            <w:pPr>
              <w:spacing w:after="0" w:line="237" w:lineRule="exact"/>
              <w:rPr>
                <w:sz w:val="20"/>
                <w:szCs w:val="20"/>
                <w:color w:val="auto"/>
              </w:rPr>
            </w:pPr>
            <w:r>
              <w:rPr>
                <w:rFonts w:ascii="Times New Roman" w:cs="Times New Roman" w:eastAsia="Times New Roman" w:hAnsi="Times New Roman"/>
                <w:sz w:val="22"/>
                <w:szCs w:val="22"/>
                <w:color w:val="auto"/>
                <w:w w:val="97"/>
              </w:rPr>
              <w:t>Successors</w:t>
            </w:r>
          </w:p>
        </w:tc>
        <w:tc>
          <w:tcPr>
            <w:tcW w:w="200" w:type="dxa"/>
            <w:vAlign w:val="bottom"/>
            <w:gridSpan w:val="3"/>
          </w:tcPr>
          <w:p>
            <w:pPr>
              <w:spacing w:after="0"/>
              <w:rPr>
                <w:sz w:val="20"/>
                <w:szCs w:val="20"/>
                <w:color w:val="auto"/>
              </w:rPr>
            </w:pPr>
          </w:p>
        </w:tc>
        <w:tc>
          <w:tcPr>
            <w:tcW w:w="320" w:type="dxa"/>
            <w:vAlign w:val="bottom"/>
            <w:gridSpan w:val="3"/>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w w:val="90"/>
              </w:rPr>
              <w:t>38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108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w w:val="96"/>
              </w:rPr>
              <w:t>Section 8.06</w:t>
            </w:r>
          </w:p>
        </w:tc>
        <w:tc>
          <w:tcPr>
            <w:tcW w:w="220" w:type="dxa"/>
            <w:vAlign w:val="bottom"/>
          </w:tcPr>
          <w:p>
            <w:pPr>
              <w:spacing w:after="0"/>
              <w:rPr>
                <w:sz w:val="21"/>
                <w:szCs w:val="21"/>
                <w:color w:val="auto"/>
              </w:rPr>
            </w:pPr>
          </w:p>
        </w:tc>
        <w:tc>
          <w:tcPr>
            <w:tcW w:w="1120" w:type="dxa"/>
            <w:vAlign w:val="bottom"/>
            <w:gridSpan w:val="5"/>
          </w:tcPr>
          <w:p>
            <w:pPr>
              <w:spacing w:after="0" w:line="250" w:lineRule="exact"/>
              <w:rPr>
                <w:sz w:val="20"/>
                <w:szCs w:val="20"/>
                <w:color w:val="auto"/>
              </w:rPr>
            </w:pPr>
            <w:r>
              <w:rPr>
                <w:rFonts w:ascii="Times New Roman" w:cs="Times New Roman" w:eastAsia="Times New Roman" w:hAnsi="Times New Roman"/>
                <w:sz w:val="22"/>
                <w:szCs w:val="22"/>
                <w:color w:val="auto"/>
                <w:w w:val="96"/>
              </w:rPr>
              <w:t>Counterparts</w:t>
            </w:r>
          </w:p>
        </w:tc>
        <w:tc>
          <w:tcPr>
            <w:tcW w:w="40" w:type="dxa"/>
            <w:vAlign w:val="bottom"/>
          </w:tcPr>
          <w:p>
            <w:pPr>
              <w:spacing w:after="0"/>
              <w:rPr>
                <w:sz w:val="21"/>
                <w:szCs w:val="21"/>
                <w:color w:val="auto"/>
              </w:rPr>
            </w:pPr>
          </w:p>
        </w:tc>
        <w:tc>
          <w:tcPr>
            <w:tcW w:w="4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2"/>
                <w:szCs w:val="22"/>
                <w:color w:val="auto"/>
              </w:rPr>
              <w:t>38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0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96"/>
              </w:rPr>
              <w:t>Section 8.07</w:t>
            </w:r>
          </w:p>
        </w:tc>
        <w:tc>
          <w:tcPr>
            <w:tcW w:w="220" w:type="dxa"/>
            <w:vAlign w:val="bottom"/>
          </w:tcPr>
          <w:p>
            <w:pPr>
              <w:spacing w:after="0"/>
              <w:rPr>
                <w:sz w:val="20"/>
                <w:szCs w:val="20"/>
                <w:color w:val="auto"/>
              </w:rPr>
            </w:pPr>
          </w:p>
        </w:tc>
        <w:tc>
          <w:tcPr>
            <w:tcW w:w="112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auto"/>
              </w:rPr>
              <w:t>Severability</w:t>
            </w:r>
          </w:p>
        </w:tc>
        <w:tc>
          <w:tcPr>
            <w:tcW w:w="40" w:type="dxa"/>
            <w:vAlign w:val="bottom"/>
          </w:tcPr>
          <w:p>
            <w:pPr>
              <w:spacing w:after="0"/>
              <w:rPr>
                <w:sz w:val="20"/>
                <w:szCs w:val="20"/>
                <w:color w:val="auto"/>
              </w:rPr>
            </w:pPr>
          </w:p>
        </w:tc>
        <w:tc>
          <w:tcPr>
            <w:tcW w:w="320" w:type="dxa"/>
            <w:vAlign w:val="bottom"/>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auto"/>
              </w:rPr>
              <w:t>38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4"/>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6"/>
        </w:trPr>
        <w:tc>
          <w:tcPr>
            <w:tcW w:w="10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96"/>
              </w:rPr>
              <w:t>Section 8.08</w:t>
            </w:r>
          </w:p>
        </w:tc>
        <w:tc>
          <w:tcPr>
            <w:tcW w:w="220" w:type="dxa"/>
            <w:vAlign w:val="bottom"/>
          </w:tcPr>
          <w:p>
            <w:pPr>
              <w:spacing w:after="0"/>
              <w:rPr>
                <w:sz w:val="20"/>
                <w:szCs w:val="20"/>
                <w:color w:val="auto"/>
              </w:rPr>
            </w:pPr>
          </w:p>
        </w:tc>
        <w:tc>
          <w:tcPr>
            <w:tcW w:w="1720" w:type="dxa"/>
            <w:vAlign w:val="bottom"/>
            <w:gridSpan w:val="12"/>
          </w:tcPr>
          <w:p>
            <w:pPr>
              <w:spacing w:after="0" w:line="237" w:lineRule="exact"/>
              <w:rPr>
                <w:sz w:val="20"/>
                <w:szCs w:val="20"/>
                <w:color w:val="auto"/>
              </w:rPr>
            </w:pPr>
            <w:r>
              <w:rPr>
                <w:rFonts w:ascii="Times New Roman" w:cs="Times New Roman" w:eastAsia="Times New Roman" w:hAnsi="Times New Roman"/>
                <w:sz w:val="22"/>
                <w:szCs w:val="22"/>
                <w:color w:val="auto"/>
                <w:w w:val="97"/>
              </w:rPr>
              <w:t>Withholding Rights</w:t>
            </w:r>
          </w:p>
        </w:tc>
        <w:tc>
          <w:tcPr>
            <w:tcW w:w="42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auto"/>
              </w:rPr>
              <w:t>38</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9"/>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0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96"/>
              </w:rPr>
              <w:t>Section 8.09</w:t>
            </w:r>
          </w:p>
        </w:tc>
        <w:tc>
          <w:tcPr>
            <w:tcW w:w="220" w:type="dxa"/>
            <w:vAlign w:val="bottom"/>
          </w:tcPr>
          <w:p>
            <w:pPr>
              <w:spacing w:after="0"/>
              <w:rPr>
                <w:sz w:val="20"/>
                <w:szCs w:val="20"/>
                <w:color w:val="auto"/>
              </w:rPr>
            </w:pPr>
          </w:p>
        </w:tc>
        <w:tc>
          <w:tcPr>
            <w:tcW w:w="6520" w:type="dxa"/>
            <w:vAlign w:val="bottom"/>
            <w:gridSpan w:val="28"/>
          </w:tcPr>
          <w:p>
            <w:pPr>
              <w:spacing w:after="0" w:line="237" w:lineRule="exact"/>
              <w:rPr>
                <w:sz w:val="20"/>
                <w:szCs w:val="20"/>
                <w:color w:val="auto"/>
              </w:rPr>
            </w:pPr>
            <w:r>
              <w:rPr>
                <w:rFonts w:ascii="Times New Roman" w:cs="Times New Roman" w:eastAsia="Times New Roman" w:hAnsi="Times New Roman"/>
                <w:sz w:val="22"/>
                <w:szCs w:val="22"/>
                <w:color w:val="auto"/>
              </w:rPr>
              <w:t>Calculations; Calculation Agent  38</w:t>
            </w:r>
          </w:p>
        </w:tc>
      </w:tr>
      <w:tr>
        <w:trPr>
          <w:trHeight w:val="20"/>
        </w:trPr>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9"/>
            <w:shd w:val="clear" w:color="auto" w:fill="000000"/>
          </w:tcPr>
          <w:p>
            <w:pPr>
              <w:spacing w:after="0" w:line="20" w:lineRule="exact"/>
              <w:rPr>
                <w:sz w:val="1"/>
                <w:szCs w:val="1"/>
                <w:color w:val="auto"/>
              </w:rPr>
            </w:pPr>
          </w:p>
        </w:tc>
        <w:tc>
          <w:tcPr>
            <w:tcW w:w="320" w:type="dxa"/>
            <w:vAlign w:val="bottom"/>
            <w:tcBorders>
              <w:left w:val="single" w:sz="8" w:color="auto"/>
              <w:right w:val="single" w:sz="8" w:color="auto"/>
            </w:tcBorders>
            <w:gridSpan w:val="4"/>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left w:val="single" w:sz="8" w:color="auto"/>
            </w:tcBorders>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0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96"/>
              </w:rPr>
              <w:t>Section 8.10</w:t>
            </w:r>
          </w:p>
        </w:tc>
        <w:tc>
          <w:tcPr>
            <w:tcW w:w="220" w:type="dxa"/>
            <w:vAlign w:val="bottom"/>
          </w:tcPr>
          <w:p>
            <w:pPr>
              <w:spacing w:after="0"/>
              <w:rPr>
                <w:sz w:val="20"/>
                <w:szCs w:val="20"/>
                <w:color w:val="auto"/>
              </w:rPr>
            </w:pPr>
          </w:p>
        </w:tc>
        <w:tc>
          <w:tcPr>
            <w:tcW w:w="6520" w:type="dxa"/>
            <w:vAlign w:val="bottom"/>
            <w:gridSpan w:val="28"/>
          </w:tcPr>
          <w:p>
            <w:pPr>
              <w:spacing w:after="0" w:line="237" w:lineRule="exact"/>
              <w:rPr>
                <w:sz w:val="20"/>
                <w:szCs w:val="20"/>
                <w:color w:val="auto"/>
              </w:rPr>
            </w:pPr>
            <w:r>
              <w:rPr>
                <w:rFonts w:ascii="Times New Roman" w:cs="Times New Roman" w:eastAsia="Times New Roman" w:hAnsi="Times New Roman"/>
                <w:sz w:val="22"/>
                <w:szCs w:val="22"/>
                <w:color w:val="auto"/>
                <w:w w:val="99"/>
              </w:rPr>
              <w:t>Limited Responsibility of Calculation Agent and Independent Advisor  39</w:t>
            </w:r>
          </w:p>
        </w:tc>
      </w:tr>
      <w:tr>
        <w:trPr>
          <w:trHeight w:val="237"/>
        </w:trPr>
        <w:tc>
          <w:tcPr>
            <w:tcW w:w="1080" w:type="dxa"/>
            <w:vAlign w:val="bottom"/>
            <w:tcBorders>
              <w:top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w w:val="96"/>
              </w:rPr>
              <w:t>Section 8.11</w:t>
            </w:r>
          </w:p>
        </w:tc>
        <w:tc>
          <w:tcPr>
            <w:tcW w:w="220" w:type="dxa"/>
            <w:vAlign w:val="bottom"/>
          </w:tcPr>
          <w:p>
            <w:pPr>
              <w:spacing w:after="0"/>
              <w:rPr>
                <w:sz w:val="20"/>
                <w:szCs w:val="20"/>
                <w:color w:val="auto"/>
              </w:rPr>
            </w:pPr>
          </w:p>
        </w:tc>
        <w:tc>
          <w:tcPr>
            <w:tcW w:w="1480" w:type="dxa"/>
            <w:vAlign w:val="bottom"/>
            <w:tcBorders>
              <w:top w:val="single" w:sz="8" w:color="auto"/>
            </w:tcBorders>
            <w:gridSpan w:val="9"/>
          </w:tcPr>
          <w:p>
            <w:pPr>
              <w:spacing w:after="0" w:line="237" w:lineRule="exact"/>
              <w:rPr>
                <w:sz w:val="20"/>
                <w:szCs w:val="20"/>
                <w:color w:val="auto"/>
              </w:rPr>
            </w:pPr>
            <w:r>
              <w:rPr>
                <w:rFonts w:ascii="Times New Roman" w:cs="Times New Roman" w:eastAsia="Times New Roman" w:hAnsi="Times New Roman"/>
                <w:sz w:val="22"/>
                <w:szCs w:val="22"/>
                <w:color w:val="auto"/>
                <w:w w:val="91"/>
              </w:rPr>
              <w:t>Entire Agreement</w:t>
            </w:r>
          </w:p>
        </w:tc>
        <w:tc>
          <w:tcPr>
            <w:tcW w:w="240" w:type="dxa"/>
            <w:vAlign w:val="bottom"/>
            <w:tcBorders>
              <w:top w:val="single" w:sz="8" w:color="auto"/>
            </w:tcBorders>
            <w:gridSpan w:val="3"/>
          </w:tcPr>
          <w:p>
            <w:pPr>
              <w:spacing w:after="0"/>
              <w:rPr>
                <w:sz w:val="20"/>
                <w:szCs w:val="20"/>
                <w:color w:val="auto"/>
              </w:rPr>
            </w:pPr>
          </w:p>
        </w:tc>
        <w:tc>
          <w:tcPr>
            <w:tcW w:w="240" w:type="dxa"/>
            <w:vAlign w:val="bottom"/>
            <w:tcBorders>
              <w:top w:val="single" w:sz="8" w:color="auto"/>
            </w:tcBorders>
            <w:gridSpan w:val="2"/>
          </w:tcPr>
          <w:p>
            <w:pPr>
              <w:ind w:left="40"/>
              <w:spacing w:after="0" w:line="237" w:lineRule="exact"/>
              <w:rPr>
                <w:sz w:val="20"/>
                <w:szCs w:val="20"/>
                <w:color w:val="auto"/>
              </w:rPr>
            </w:pPr>
            <w:r>
              <w:rPr>
                <w:rFonts w:ascii="Times New Roman" w:cs="Times New Roman" w:eastAsia="Times New Roman" w:hAnsi="Times New Roman"/>
                <w:sz w:val="22"/>
                <w:szCs w:val="22"/>
                <w:color w:val="auto"/>
                <w:w w:val="72"/>
              </w:rPr>
              <w:t>39</w:t>
            </w:r>
          </w:p>
        </w:tc>
        <w:tc>
          <w:tcPr>
            <w:tcW w:w="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Form of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139"/>
          </w:cols>
          <w:pgMar w:left="320" w:top="126"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WARRANT AGREEMENT, dated as of July 21, 2025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between Enovix Corporation, a corporation incorporated under the laws of the state of Delaware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Computershare Inc., a Delaware corporation (“</w:t>
      </w:r>
      <w:r>
        <w:rPr>
          <w:rFonts w:ascii="Times New Roman" w:cs="Times New Roman" w:eastAsia="Times New Roman" w:hAnsi="Times New Roman"/>
          <w:sz w:val="22"/>
          <w:szCs w:val="22"/>
          <w:u w:val="single" w:color="auto"/>
          <w:color w:val="auto"/>
        </w:rPr>
        <w:t>Computershare</w:t>
      </w:r>
      <w:r>
        <w:rPr>
          <w:rFonts w:ascii="Times New Roman" w:cs="Times New Roman" w:eastAsia="Times New Roman" w:hAnsi="Times New Roman"/>
          <w:sz w:val="22"/>
          <w:szCs w:val="22"/>
          <w:color w:val="auto"/>
        </w:rPr>
        <w:t>”), and its affiliate, Computershare Trust Company N.A., a federally chartered trust company, collectively as Warrant Agent (the “</w:t>
      </w:r>
      <w:r>
        <w:rPr>
          <w:rFonts w:ascii="Times New Roman" w:cs="Times New Roman" w:eastAsia="Times New Roman" w:hAnsi="Times New Roman"/>
          <w:sz w:val="22"/>
          <w:szCs w:val="22"/>
          <w:u w:val="single" w:color="auto"/>
          <w:color w:val="auto"/>
        </w:rPr>
        <w:t>Warrant Agent</w:t>
      </w:r>
      <w:r>
        <w:rPr>
          <w:rFonts w:ascii="Times New Roman" w:cs="Times New Roman" w:eastAsia="Times New Roman" w:hAnsi="Times New Roman"/>
          <w:sz w:val="22"/>
          <w:szCs w:val="22"/>
          <w:color w:val="auto"/>
        </w:rPr>
        <w:t>”) (each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Board of Directors has declared a dividend distribution (the “</w:t>
      </w:r>
      <w:r>
        <w:rPr>
          <w:rFonts w:ascii="Times New Roman" w:cs="Times New Roman" w:eastAsia="Times New Roman" w:hAnsi="Times New Roman"/>
          <w:sz w:val="22"/>
          <w:szCs w:val="22"/>
          <w:u w:val="single" w:color="auto"/>
          <w:color w:val="auto"/>
        </w:rPr>
        <w:t>Warrant Distribution</w:t>
      </w:r>
      <w:r>
        <w:rPr>
          <w:rFonts w:ascii="Times New Roman" w:cs="Times New Roman" w:eastAsia="Times New Roman" w:hAnsi="Times New Roman"/>
          <w:sz w:val="22"/>
          <w:szCs w:val="22"/>
          <w:color w:val="auto"/>
        </w:rPr>
        <w:t>”) to the holders of record of the Company’s common stock, par value $0.0001 per share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and the Other Eligible Recipients, as of 5:00 p.m., New York City time, on July 17, 2025 (such date and time, the “</w:t>
      </w:r>
      <w:r>
        <w:rPr>
          <w:rFonts w:ascii="Times New Roman" w:cs="Times New Roman" w:eastAsia="Times New Roman" w:hAnsi="Times New Roman"/>
          <w:sz w:val="22"/>
          <w:szCs w:val="22"/>
          <w:u w:val="single" w:color="auto"/>
          <w:color w:val="auto"/>
        </w:rPr>
        <w:t>Distribution Record Date</w:t>
      </w:r>
      <w:r>
        <w:rPr>
          <w:rFonts w:ascii="Times New Roman" w:cs="Times New Roman" w:eastAsia="Times New Roman" w:hAnsi="Times New Roman"/>
          <w:sz w:val="22"/>
          <w:szCs w:val="22"/>
          <w:color w:val="auto"/>
        </w:rPr>
        <w:t>”), in the form of warrants to purchase shares of Common Stock. The Company desires to issue the warrants on the terms and conditions described herein (the “</w:t>
      </w:r>
      <w:r>
        <w:rPr>
          <w:rFonts w:ascii="Times New Roman" w:cs="Times New Roman" w:eastAsia="Times New Roman" w:hAnsi="Times New Roman"/>
          <w:sz w:val="22"/>
          <w:szCs w:val="22"/>
          <w:u w:val="single" w:color="auto"/>
          <w:color w:val="auto"/>
        </w:rPr>
        <w:t>Warrants</w:t>
      </w:r>
      <w:r>
        <w:rPr>
          <w:rFonts w:ascii="Times New Roman" w:cs="Times New Roman" w:eastAsia="Times New Roman" w:hAnsi="Times New Roman"/>
          <w:sz w:val="22"/>
          <w:szCs w:val="22"/>
          <w:color w:val="auto"/>
        </w:rPr>
        <w:t>”) in satisfaction of the Warrant Distribution. The Warrants will be issued on or about July 21, 2025 (the date of the actual distribution, the “</w:t>
      </w:r>
      <w:r>
        <w:rPr>
          <w:rFonts w:ascii="Times New Roman" w:cs="Times New Roman" w:eastAsia="Times New Roman" w:hAnsi="Times New Roman"/>
          <w:sz w:val="22"/>
          <w:szCs w:val="22"/>
          <w:u w:val="single" w:color="auto"/>
          <w:color w:val="auto"/>
        </w:rPr>
        <w:t>Issue Date</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The Company desires the Warrant Agent to act on behalf of the Company in connection with the issuance, registration, transfer, exchange, exercise, redemption and cancellation of the Warrants as provided herein, and the Warrant Agent is willing to so act.</w:t>
      </w:r>
    </w:p>
    <w:p>
      <w:pPr>
        <w:spacing w:after="0" w:line="16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Each Party hereto agrees for the benefit of the other Party and for the equal and ratable benefit of the registered holders of the Warrants (the “</w:t>
      </w:r>
      <w:r>
        <w:rPr>
          <w:rFonts w:ascii="Times New Roman" w:cs="Times New Roman" w:eastAsia="Times New Roman" w:hAnsi="Times New Roman"/>
          <w:sz w:val="22"/>
          <w:szCs w:val="22"/>
          <w:u w:val="single" w:color="auto"/>
          <w:color w:val="auto"/>
        </w:rPr>
        <w:t>Holders</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15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Arial" w:cs="Arial" w:eastAsia="Arial" w:hAnsi="Arial"/>
          <w:sz w:val="21"/>
          <w:szCs w:val="21"/>
          <w:color w:val="auto"/>
        </w:rPr>
        <w:t>.</w:t>
      </w:r>
    </w:p>
    <w:p>
      <w:pPr>
        <w:spacing w:after="0" w:line="21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“Affiliate” of any Person means any other Person that, directly or indirectly, is in control of, is controlled by or is under common control with such Person. For purposes hereof, “control” of a Person means the power, direct or indirect, to direct or cause the direction or actions of the management and policies of such Person whether by contract or otherwise.</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“Board of Directors” means the Board of Directors of the Company or any committee thereof duly authorized to act on behalf of such Board of Directors.</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“Business Combination” means a merger, consolidation, amalgamation, statutory share exchange or similar transaction that requires the approval of the Company’s shareholders.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“Business Day” means day that is not (i) a Saturday, (ii) a Sunday, or (iii) a day on which banking institutions are allowed by law, regulation or executive order to be closed in the State of New York.</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“Calculation Agent” means Conv-Ex Advisors Limited, or such successor Person as may be appointed by the Company to serve as calculation agent for the Warrants.</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“Capital Stock” means (i) with respect to any Person that is a corporation or company, any and all shares, interests, participations or other equivalents (however designated) of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or capital stock of such Person and (ii) with respect to any Person that is not a corporation or company, any and all partnership or other equity interests of such Person.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“Close of Business” means 5:00 p.m., New York City time.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“Convertible Notes” means the Company’s 3.00% Convertible Senior Notes due 2028.</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“Definitive Warrant” means a Warrant Certificate in definitive form that is not deposited with the Depositary or with the Warrant Agent as the Warrant Custodian.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“Depositary” means The Depository Trust Company, its nominees, and their respective successors.</w:t>
      </w:r>
    </w:p>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“Early Expiration Price Condition” means (i) the occurrence of the first 30 consecutive Trading Day period that includes 20 Qualifying Trading Days (whether or not consecutive) the first of which 20 Qualifying Trading Days must fall on or after the first Trading Day immediately following the Issue Date or (ii) in the event of any Alternate Expiration Date Annulment, the occurrence of the first 30 consecutive Trading Day period commencing after the Alternate Expiration Date in respect of which such Alternate Expiration Date Annulment occurred that includes 20 Qualifying Trading Days (whether or not consecutive).</w:t>
      </w:r>
    </w:p>
    <w:p>
      <w:pPr>
        <w:spacing w:after="0" w:line="16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“Early Expiration Price Condition Date” means the last of the 20 Qualifying Trading Days (whether or not consecutive) to occur in the Reference Period.</w:t>
      </w:r>
    </w:p>
    <w:p>
      <w:pPr>
        <w:spacing w:after="0" w:line="1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“Early Expiration Trigger Price” is initially $10.50, subject to adjustment concurrently with any adjustment or amendment to the Warrant Exercise Rate or amendment to the Warrant Exercise Price in each case in accordance with Article IV. In any adjustment or amendment to the Warrant Exercise Rate, the adjusted Early Expiration Trigger Price shall equal the product (rounded to the nearest whole multiple of $0.0001 (with $0.00005 being rounded upwards)) of (i) the Early Expiration Trigger Price applicable immediately prior to such adjustment and (ii) a fraction, the numerator of which is the Warrant Exercise Rate in effect immediately prior to such adjustment or amendment (as applicable) and the denominator of which is the Warrant Exercise Rate as so adjusted or amended (as applicable), all as determined by the Calculation Agent. In any amendment to the Warrant Exercise Price, the adjusted Early Expiration Trigger Price shall equal the product (rounded to the nearest whole multiple of $0.0001 (with $0.00005 being rounded upwards)) of (i) the Early Expiration Trigger Price applicable immediately prior to such adjustment and (ii) a fraction, the numerator of which is the Warrant Exercise Price as so amended and the denominator of which is the Warrant Exercise Price in effect immediately prior to such amendment, all as determined by the Calculation Agent.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“Ex-Date” means the first date on which the shares of Common Stock trade on the applicable exchange or in the applicable market, regular way, without the right to receive the issuance, dividend or distribution in question, from the Company or, if applicable, from the seller of shares of Common Stock on such exchange or market (in the form of due bills or otherwise) as determined by such exchange or market. For the avoidance of doubt, any alternative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convention on the applicable exchange or market in respect of the Common Stock under a separate ticker symbol or CUSIP number will not be considered “regular way” for this purpose.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“Exchange” means the Nasdaq Global Select Market.</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“Exchange Act” means the U.S. Securities Exchange Act of 1934 and the rules and regulations promulgated thereunder, as they may be amended from time to time.</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“Fair Market Value” means, with respect to any security or other property, the fair market value of such security or other property as determined by the Board of Directors, acting in good faith.</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“Indenture” means the indenture for the Convertible Notes dated as of April 20, 2023 between the Company and U.S.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Trust Company, National Association, as trustee.</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“Independent Advisor” means a nationally recognized independent investment banking firm or financial advisor with appropriate expertise (which may include the person acting as the Calculation Agent or any affiliate thereof) retained by the Company at its own expense.</w:t>
      </w:r>
    </w:p>
    <w:p>
      <w:pPr>
        <w:spacing w:after="0" w:line="17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“Last Reported Sale Price” means, with respect to the Common Stock (or other security), on any given day, the last sale price, regular way, or, in case no such sale takes place on such day, the average of the last bid price and last ask price (or, if more than one in either case, the arithmetic average of the average last bid prices and the average last prices), regular way, of the Common Stock (or such other security, as the case may be) as reported in composite transactions for the Exchange on such day, without regard to after-hours or extended market trading,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Common Stock (or such other security, as the case may be) is not listed on the Exchange on any date of determination, the Last Reported Sale Price of the Common Stock (or such other security, as the case may be) on such date of determination means the closing sale price as reported in the composite transactions for the principal U.S. national or regional securities exchange on which the Common Stock (or such other security, as the case may be) is so listed or quoted, or, if no closing sale price is reported, the last reported sale price on the principal U.S. national or regional securities exchange on which the Common Stock (or such other security, as the case may be) is so listed or quoted, or, if the Common Stock (or such other security, as the case may be) is not so listed or quoted on a U.S. national or regional securities exchange, the last quoted bid price for the Common Stock (or such other security, as the case may be) in the over-the-counter market as reported by OTC Markets Group Inc. or a similar organization, or, if that bid price is not available, the Last Reported Sale Price of the Common Stock (or such other security, as the case may be) on that date shall mean the Fair Market Value per share of Common Stock (or such other security, as the case may be) as of such day.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“Officer” means, with respect to the Company, the Chief Executive Officer, the President, the Chief Financial Officer, or the Chief Legal Officer and Corporate Secretary of the Company or, with respect to any other Person, the Chief Executive Officer, the President, the Chief Financial Officer, any Vice President, the Treasurer, any Assistant Treasurer, or the Secretary or an Assistant Secretary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“Other Eligible Recipient” means a holder of record of the Convertible Notes as of the Distribution Record Date.</w:t>
      </w:r>
    </w:p>
    <w:p>
      <w:pPr>
        <w:spacing w:after="0" w:line="220"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“Person” means any individual, corporation, partnership, joint venture, limited liability company, association, joint-stock company, trust, unincorporated organization, government or any agency or political subdivision thereof, or any other entity.</w:t>
      </w:r>
    </w:p>
    <w:p>
      <w:pPr>
        <w:spacing w:after="0" w:line="14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“Qualifying Trading Day” means any Trading Day on which the daily VWAP of a share of Common Stock is at least equal to the Early Expiration Trigger Price in effect on the last day of the Reference Period. For purposes of this definition, the daily VWAP shall not be adjusted or otherwise modified to take into account any adjustment or amendment to the Warrant Exercise Rate or amendment to the Warrant Exercise Price in accordance with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giving rise to an adjustment to the Early Expiration Trigger Price (pursuant to the definition thereof), whether or not such adjustment to the Early Expiration Trigger Price is in effect on the last day of the Reference Period (and, in the case of an adjustment to the Warrant Exercise Rate giving rise to an adjustment to the Early Expiration Trigger Price, whether or not the Ex-Date (or, in the case of any subdivision, combination, consolidation or reclassification of the issued and outstanding shares of Common Stock, the effective date) of the relevant Warrant Exercise Rate adjustment event occurs before, on or after the date in respect of which such daily VWAP is being determined).</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“Record Date” means, for the purposes of Sections 4.01 and </w:t>
      </w:r>
      <w:r>
        <w:rPr>
          <w:rFonts w:ascii="Times New Roman" w:cs="Times New Roman" w:eastAsia="Times New Roman" w:hAnsi="Times New Roman"/>
          <w:sz w:val="22"/>
          <w:szCs w:val="22"/>
          <w:u w:val="single" w:color="auto"/>
          <w:color w:val="auto"/>
        </w:rPr>
        <w:t>4.02</w:t>
      </w:r>
      <w:r>
        <w:rPr>
          <w:rFonts w:ascii="Times New Roman" w:cs="Times New Roman" w:eastAsia="Times New Roman" w:hAnsi="Times New Roman"/>
          <w:sz w:val="22"/>
          <w:szCs w:val="22"/>
          <w:color w:val="auto"/>
        </w:rPr>
        <w:t>, with respect to any dividend, distribution or other transaction or event in which the holders of the Common Stock have the right to receive any cash, securities or other property or in which the Common Stock (or other applicable security) is exchanged for or converted into any combination of cash, securities or other property, the date fixed for determination of holders of the Common Stock entitled to receive such cash, securities or other property (whether such date is fixed by the Board of Directors or by statute,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-699770</wp:posOffset>
            </wp:positionV>
            <wp:extent cx="291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159"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“Reference Period” means, as applicable, the 30 consecutive Trading Day period referred to in clause (i) or clause (ii) of the definition of Early Expiration Price Condition.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 means the U.S. Securities and Exchange Commission.</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“Securities Act” means the U.S. Securities Act of 1933 and the rules and regulations promulgated thereunder, as they may be amended from time to time.</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“Trading Day” means a day on which the Common Stock (or other security) (i) at the close of regular way trading (not including after-hours or extended market trading) is not suspended from trading on the Exchange or, if the Common Stock (or such other security, as the case may be) is not listed on the Exchange, any U.S. national or regional securities exchange or association or over-the-counter market that is the primary market for the trading the Common Stock (or such other security, as the case may be) at the Close of Business, and (ii) has traded at least once regular way on the Exchange or, if the Common Stock (or such other security, as the case may be) is not listed on the Exchange, such other U.S. national securities exchange or association or over-the-counter market that is the primary market for the trading of the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color w:val="auto"/>
        </w:rPr>
        <w:t xml:space="preserve">Stock (or such other security, as the case may be);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Common Stock (or such other security, as the case may be) is not so listed or traded, “Trading Day” means a Business Day.</w:t>
      </w:r>
    </w:p>
    <w:p>
      <w:pPr>
        <w:spacing w:after="0" w:line="15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“VWAP” of the Common Stock (or other security) on any date of determination means, (i) in the case of the Common Stock, for any day on which trading in the Common Stock generally occurs on the Exchange (or, if the Common Stock is not listed on the Exchange, the U.S. national or regional securities exchange or association or over-the-counter market that is the primary market for the trading of the Common Stock on such day), the per-share volume-weighted average price based on all trades in the consolidated tape system as displayed on Bloomberg page “ENVX US Equity HP” (setting: “Volume Weighted Average Line”) (or its equivalent successor if such page or setting is not available) in respect of such day and (ii) in the case of any other security, for any day on which trading in such security generally occurs on the Exchange (or, if such security is not listed on the Exchange, the U.S. national or regional securities exchange or association or over-the-counter market that is the primary market for the trading of such security on such day), the per-share volume-weighted average price based on all trades in the consolidated tape system as displayed on Bloomberg page “HP” for such security in respect of such day. If such information is not so available for the Common Stock or such other security, the VWAP on such date shall be the Last Reported Sale Price for the Common Stock or such other security on such day.</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“Warrant Certificate” means any Global Warrant or Definitive Warrant issued by the Company under this Agreement.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“Warrant Custodian” means the custodian with respect to a Global Warrant (as appointed by the Depositary) or any successor Person thereto.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“Warrant Exercise Price” has the meaning set forth in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“Warrant Exercise Rate” means initially one (1) share of Common Stock, subject to adjustment or amendment from time to time in accordance with Article IV.</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“Warrant Shares” means the shares of Common Stock issuable on exercise of the Warrants.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“Whole Number” means any non-negative number, including zero, that is not a fraction or decimal.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26" w:right="33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1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1.02</w:t>
            </w:r>
          </w:p>
        </w:tc>
        <w:tc>
          <w:tcPr>
            <w:tcW w:w="5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Other Definitions.</w:t>
            </w:r>
          </w:p>
        </w:tc>
        <w:tc>
          <w:tcPr>
            <w:tcW w:w="4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19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Term</w:t>
            </w:r>
          </w:p>
        </w:tc>
        <w:tc>
          <w:tcPr>
            <w:tcW w:w="152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41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Defined in</w:t>
            </w:r>
          </w:p>
        </w:tc>
        <w:tc>
          <w:tcPr>
            <w:tcW w:w="0" w:type="dxa"/>
            <w:vAlign w:val="bottom"/>
          </w:tcPr>
          <w:p>
            <w:pPr>
              <w:spacing w:after="0"/>
              <w:rPr>
                <w:sz w:val="1"/>
                <w:szCs w:val="1"/>
                <w:color w:val="auto"/>
              </w:rPr>
            </w:pPr>
          </w:p>
        </w:tc>
      </w:tr>
      <w:tr>
        <w:trPr>
          <w:trHeight w:val="283"/>
        </w:trPr>
        <w:tc>
          <w:tcPr>
            <w:tcW w:w="196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Section</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Borders>
              <w:top w:val="single" w:sz="8" w:color="auto"/>
            </w:tcBorders>
            <w:gridSpan w:val="3"/>
          </w:tcPr>
          <w:p>
            <w:pPr>
              <w:ind w:left="80"/>
              <w:spacing w:after="0" w:line="249" w:lineRule="exact"/>
              <w:rPr>
                <w:sz w:val="20"/>
                <w:szCs w:val="20"/>
                <w:color w:val="auto"/>
              </w:rPr>
            </w:pPr>
            <w:r>
              <w:rPr>
                <w:rFonts w:ascii="Times New Roman" w:cs="Times New Roman" w:eastAsia="Times New Roman" w:hAnsi="Times New Roman"/>
                <w:sz w:val="22"/>
                <w:szCs w:val="22"/>
                <w:color w:val="auto"/>
              </w:rPr>
              <w:t>Additional Price Condition</w:t>
            </w:r>
          </w:p>
        </w:tc>
        <w:tc>
          <w:tcPr>
            <w:tcW w:w="4180" w:type="dxa"/>
            <w:vAlign w:val="bottom"/>
            <w:tcBorders>
              <w:top w:val="single" w:sz="8" w:color="auto"/>
            </w:tcBorders>
          </w:tcPr>
          <w:p>
            <w:pPr>
              <w:jc w:val="right"/>
              <w:spacing w:after="0" w:line="249" w:lineRule="exact"/>
              <w:rPr>
                <w:sz w:val="20"/>
                <w:szCs w:val="20"/>
                <w:color w:val="auto"/>
              </w:rPr>
            </w:pPr>
            <w:r>
              <w:rPr>
                <w:rFonts w:ascii="Times New Roman" w:cs="Times New Roman" w:eastAsia="Times New Roman" w:hAnsi="Times New Roman"/>
                <w:sz w:val="22"/>
                <w:szCs w:val="22"/>
                <w:color w:val="auto"/>
              </w:rPr>
              <w:t>3.02(e)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Agent Members</w:t>
            </w:r>
          </w:p>
        </w:tc>
        <w:tc>
          <w:tcPr>
            <w:tcW w:w="15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2.01(c)(ii)</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Agreement</w:t>
            </w:r>
          </w:p>
        </w:tc>
        <w:tc>
          <w:tcPr>
            <w:tcW w:w="15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Preamble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6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Alternate Expiration Date Annulment</w:t>
            </w: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3.02(f)</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Common Stock</w:t>
            </w:r>
          </w:p>
        </w:tc>
        <w:tc>
          <w:tcPr>
            <w:tcW w:w="15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Recitals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6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Common Stock Shelf Registration Statement</w:t>
            </w: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Company</w:t>
            </w:r>
          </w:p>
        </w:tc>
        <w:tc>
          <w:tcPr>
            <w:tcW w:w="15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Preamble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6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Distribution Record Date</w:t>
            </w: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Recitals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6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Early Expiration Date</w:t>
            </w: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3.02(b)</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6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Early Expiration Price Condition Notice</w:t>
            </w: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3.02(c)</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Exercise Date</w:t>
            </w:r>
          </w:p>
        </w:tc>
        <w:tc>
          <w:tcPr>
            <w:tcW w:w="15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3.04(a)</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Exercise Notice</w:t>
            </w:r>
          </w:p>
        </w:tc>
        <w:tc>
          <w:tcPr>
            <w:tcW w:w="15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3.04(a)(ii)</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Exercise Price</w:t>
            </w:r>
          </w:p>
        </w:tc>
        <w:tc>
          <w:tcPr>
            <w:tcW w:w="15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3.01(a)</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6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Exercise Suspension Period</w:t>
            </w: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Expiration Date</w:t>
            </w:r>
          </w:p>
        </w:tc>
        <w:tc>
          <w:tcPr>
            <w:tcW w:w="15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3.02(b)</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Funds</w:t>
            </w:r>
          </w:p>
        </w:tc>
        <w:tc>
          <w:tcPr>
            <w:tcW w:w="15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Global Warrant</w:t>
            </w:r>
          </w:p>
        </w:tc>
        <w:tc>
          <w:tcPr>
            <w:tcW w:w="15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2.01(a)(iii)</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Holders</w:t>
            </w:r>
          </w:p>
        </w:tc>
        <w:tc>
          <w:tcPr>
            <w:tcW w:w="15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Recitals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Issue Date</w:t>
            </w:r>
          </w:p>
        </w:tc>
        <w:tc>
          <w:tcPr>
            <w:tcW w:w="15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Recitals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Parties</w:t>
            </w:r>
          </w:p>
        </w:tc>
        <w:tc>
          <w:tcPr>
            <w:tcW w:w="15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Preamble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Party</w:t>
            </w:r>
          </w:p>
        </w:tc>
        <w:tc>
          <w:tcPr>
            <w:tcW w:w="15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Preamble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PDF</w:t>
            </w:r>
          </w:p>
        </w:tc>
        <w:tc>
          <w:tcPr>
            <w:tcW w:w="15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Spin-Off</w:t>
            </w:r>
          </w:p>
        </w:tc>
        <w:tc>
          <w:tcPr>
            <w:tcW w:w="15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4.01(c)(ii)</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Stock Transfer Agent</w:t>
            </w:r>
          </w:p>
        </w:tc>
        <w:tc>
          <w:tcPr>
            <w:tcW w:w="15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3.05(a)</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6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Unit of Reference Property</w:t>
            </w: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Valuation Period</w:t>
            </w:r>
          </w:p>
        </w:tc>
        <w:tc>
          <w:tcPr>
            <w:tcW w:w="15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4.01(c)(ii)</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6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Valuation Trading Day</w:t>
            </w: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4.01(c)(ii)</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Warrant Agent</w:t>
            </w:r>
          </w:p>
        </w:tc>
        <w:tc>
          <w:tcPr>
            <w:tcW w:w="15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Preamble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Warrant Distribution</w:t>
            </w:r>
          </w:p>
        </w:tc>
        <w:tc>
          <w:tcPr>
            <w:tcW w:w="15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Recitals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Warrant Register</w:t>
            </w:r>
          </w:p>
        </w:tc>
        <w:tc>
          <w:tcPr>
            <w:tcW w:w="15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2.03</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Warrants</w:t>
            </w:r>
          </w:p>
        </w:tc>
        <w:tc>
          <w:tcPr>
            <w:tcW w:w="15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Recitals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68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1.03</w:t>
      </w:r>
      <w:r>
        <w:rPr>
          <w:sz w:val="20"/>
          <w:szCs w:val="20"/>
          <w:color w:val="auto"/>
        </w:rPr>
        <w:tab/>
      </w:r>
      <w:r>
        <w:rPr>
          <w:rFonts w:ascii="Times New Roman" w:cs="Times New Roman" w:eastAsia="Times New Roman" w:hAnsi="Times New Roman"/>
          <w:sz w:val="21"/>
          <w:szCs w:val="21"/>
          <w:u w:val="single" w:color="auto"/>
          <w:color w:val="auto"/>
        </w:rPr>
        <w:t>Rules of Construction. Unless the text or context otherwise requires:</w:t>
      </w:r>
    </w:p>
    <w:p>
      <w:pPr>
        <w:spacing w:after="0" w:line="191" w:lineRule="exact"/>
        <w:rPr>
          <w:sz w:val="20"/>
          <w:szCs w:val="20"/>
          <w:color w:val="auto"/>
        </w:rPr>
      </w:pPr>
    </w:p>
    <w:p>
      <w:pPr>
        <w:ind w:left="1960" w:hanging="636"/>
        <w:spacing w:after="0"/>
        <w:tabs>
          <w:tab w:leader="none" w:pos="1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defined term has the meaning assigned to it herein;</w:t>
      </w:r>
    </w:p>
    <w:p>
      <w:pPr>
        <w:sectPr>
          <w:pgSz w:w="11900" w:h="16838" w:orient="portrait"/>
          <w:cols w:equalWidth="0" w:num="1">
            <w:col w:w="11260"/>
          </w:cols>
          <w:pgMar w:left="30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60"/>
          </w:cols>
          <w:pgMar w:left="300" w:top="126"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1304"/>
        <w:spacing w:after="0" w:line="236" w:lineRule="auto"/>
        <w:tabs>
          <w:tab w:leader="none" w:pos="193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 accounting term not otherwise defined has the meaning assigned to it in accordance with U.S. generally accepted accounting principles as in effect from time to time;</w:t>
      </w:r>
    </w:p>
    <w:p>
      <w:pPr>
        <w:spacing w:after="0" w:line="150"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“including” means including, without limitation;</w:t>
      </w:r>
    </w:p>
    <w:p>
      <w:pPr>
        <w:spacing w:after="0" w:line="17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words in the singular include the plural and words in the plural include the singular;</w:t>
      </w:r>
    </w:p>
    <w:p>
      <w:pPr>
        <w:spacing w:after="0" w:line="179" w:lineRule="exact"/>
        <w:rPr>
          <w:rFonts w:ascii="Times New Roman" w:cs="Times New Roman" w:eastAsia="Times New Roman" w:hAnsi="Times New Roman"/>
          <w:sz w:val="18"/>
          <w:szCs w:val="18"/>
          <w:color w:val="auto"/>
        </w:rPr>
      </w:pPr>
    </w:p>
    <w:p>
      <w:pPr>
        <w:jc w:val="both"/>
        <w:ind w:firstLine="1304"/>
        <w:spacing w:after="0" w:line="225" w:lineRule="auto"/>
        <w:tabs>
          <w:tab w:leader="none" w:pos="194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references to any statute, rule, standard, regulation or other law include a reference to (x) the corresponding rules and regulations and (y) each of them as amended, modified, supplemented, consolidated, replaced or rewritten from time to time; and</w:t>
      </w:r>
    </w:p>
    <w:p>
      <w:pPr>
        <w:spacing w:after="0" w:line="152" w:lineRule="exact"/>
        <w:rPr>
          <w:rFonts w:ascii="Times New Roman" w:cs="Times New Roman" w:eastAsia="Times New Roman" w:hAnsi="Times New Roman"/>
          <w:sz w:val="18"/>
          <w:szCs w:val="18"/>
          <w:color w:val="auto"/>
        </w:rPr>
      </w:pPr>
    </w:p>
    <w:p>
      <w:pPr>
        <w:ind w:firstLine="1304"/>
        <w:spacing w:after="0" w:line="236" w:lineRule="auto"/>
        <w:tabs>
          <w:tab w:leader="none" w:pos="19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headings to Articles, Sections and Sub-Sections in this Agreement are inserted for convenience of reference only and are not intended to be a part of or to affect the meaning or interpretation of this Agreement.</w:t>
      </w:r>
    </w:p>
    <w:p>
      <w:pPr>
        <w:spacing w:after="0" w:line="18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89" w:lineRule="exact"/>
        <w:rPr>
          <w:sz w:val="20"/>
          <w:szCs w:val="20"/>
          <w:color w:val="auto"/>
        </w:rPr>
      </w:pPr>
    </w:p>
    <w:p>
      <w:pPr>
        <w:ind w:left="980" w:right="3160" w:firstLine="2192"/>
        <w:spacing w:after="0" w:line="411" w:lineRule="auto"/>
        <w:rPr>
          <w:sz w:val="20"/>
          <w:szCs w:val="20"/>
          <w:color w:val="auto"/>
        </w:rPr>
      </w:pPr>
      <w:r>
        <w:rPr>
          <w:rFonts w:ascii="Times New Roman" w:cs="Times New Roman" w:eastAsia="Times New Roman" w:hAnsi="Times New Roman"/>
          <w:sz w:val="22"/>
          <w:szCs w:val="22"/>
          <w:b w:val="1"/>
          <w:bCs w:val="1"/>
          <w:u w:val="single" w:color="auto"/>
          <w:color w:val="auto"/>
        </w:rPr>
        <w:t xml:space="preserve">FORM OF WARRANT; BENEFICIAL INTERESTS </w:t>
      </w: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Issuance and Registration</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left="1940" w:hanging="636"/>
        <w:spacing w:after="0"/>
        <w:tabs>
          <w:tab w:leader="none" w:pos="1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Warrants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3240" w:hanging="397"/>
        <w:spacing w:after="0"/>
        <w:tabs>
          <w:tab w:leader="none" w:pos="32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Warrants shall initially be issued as follows:</w:t>
      </w:r>
    </w:p>
    <w:p>
      <w:pPr>
        <w:spacing w:after="0" w:line="179" w:lineRule="exact"/>
        <w:rPr>
          <w:rFonts w:ascii="Times New Roman" w:cs="Times New Roman" w:eastAsia="Times New Roman" w:hAnsi="Times New Roman"/>
          <w:sz w:val="18"/>
          <w:szCs w:val="18"/>
          <w:color w:val="auto"/>
        </w:rPr>
      </w:pPr>
    </w:p>
    <w:p>
      <w:pPr>
        <w:jc w:val="both"/>
        <w:ind w:left="660" w:firstLine="1940"/>
        <w:spacing w:after="0" w:line="225" w:lineRule="auto"/>
        <w:tabs>
          <w:tab w:leader="none" w:pos="32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the registered holders of shares of Common Stock as of the Distribution Record Date, as reflected in the Company’s direct registration system for the Common Stock, one Warrant for each seven shares of Common Stock held by such registered holder as of the Distribution Record Date;</w:t>
      </w:r>
    </w:p>
    <w:p>
      <w:pPr>
        <w:spacing w:after="0" w:line="152" w:lineRule="exact"/>
        <w:rPr>
          <w:rFonts w:ascii="Times New Roman" w:cs="Times New Roman" w:eastAsia="Times New Roman" w:hAnsi="Times New Roman"/>
          <w:sz w:val="18"/>
          <w:szCs w:val="18"/>
          <w:color w:val="auto"/>
        </w:rPr>
      </w:pPr>
    </w:p>
    <w:p>
      <w:pPr>
        <w:jc w:val="both"/>
        <w:ind w:left="660" w:firstLine="1940"/>
        <w:spacing w:after="0" w:line="217" w:lineRule="auto"/>
        <w:tabs>
          <w:tab w:leader="none" w:pos="32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the registered holders of Convertible Notes as of the Distribution Record Date as reflected in the Register (as defined in the Indenture), pursuant to Section 14.04 of the Indenture, without such holders having to convert their Convertible Notes, one Warrant for each seven shares of Common Stock that would be issuable upon conversion as of the Distribution Record Date assuming Physical Settlement (as defined in the Indenture) of the aggregate principal amount of Convertible Notes held by such holders on the Distribution Record Date.</w:t>
      </w:r>
    </w:p>
    <w:p>
      <w:pPr>
        <w:spacing w:after="0" w:line="152" w:lineRule="exact"/>
        <w:rPr>
          <w:rFonts w:ascii="Times New Roman" w:cs="Times New Roman" w:eastAsia="Times New Roman" w:hAnsi="Times New Roman"/>
          <w:sz w:val="18"/>
          <w:szCs w:val="18"/>
          <w:color w:val="auto"/>
        </w:rPr>
      </w:pPr>
    </w:p>
    <w:p>
      <w:pPr>
        <w:jc w:val="both"/>
        <w:ind w:left="1540" w:firstLine="1303"/>
        <w:spacing w:after="0" w:line="215" w:lineRule="auto"/>
        <w:tabs>
          <w:tab w:leader="none" w:pos="323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Warrant Agent shall allocate the Warrants to, and register the Warrants in the names of, such registered holders in accordance with the Company’s direct registration system or the Warrant Agent’s other book-entry procedures pursuant to an allocation schedule approved by the Company, and in the case of the registered holders of Convertible Notes, in cooperation with the trustee under the Indenture. Any Warrants registered through the Company’s direct registration system or the Warrant Agent’s other book-entry procedures shall be issued in uncertificated form and shall not be represented by Warrant Certificates.</w:t>
      </w:r>
    </w:p>
    <w:p>
      <w:pPr>
        <w:spacing w:after="0" w:line="152" w:lineRule="exact"/>
        <w:rPr>
          <w:rFonts w:ascii="Times New Roman" w:cs="Times New Roman" w:eastAsia="Times New Roman" w:hAnsi="Times New Roman"/>
          <w:sz w:val="18"/>
          <w:szCs w:val="18"/>
          <w:color w:val="auto"/>
        </w:rPr>
      </w:pPr>
    </w:p>
    <w:p>
      <w:pPr>
        <w:jc w:val="both"/>
        <w:ind w:left="1540" w:firstLine="1303"/>
        <w:spacing w:after="0" w:line="220" w:lineRule="auto"/>
        <w:tabs>
          <w:tab w:leader="none" w:pos="324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Notwithstanding the foregoing, some or all of the Warrants may, at initial issuance or any time thereafter, be represented by one or more permanent Global Warrants, in definitive, fully registered form with the global securities legend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(each, a “</w:t>
      </w:r>
      <w:r>
        <w:rPr>
          <w:rFonts w:ascii="Times New Roman" w:cs="Times New Roman" w:eastAsia="Times New Roman" w:hAnsi="Times New Roman"/>
          <w:sz w:val="22"/>
          <w:szCs w:val="22"/>
          <w:u w:val="single" w:color="auto"/>
          <w:color w:val="auto"/>
        </w:rPr>
        <w:t>Global Warrant</w:t>
      </w:r>
      <w:r>
        <w:rPr>
          <w:rFonts w:ascii="Times New Roman" w:cs="Times New Roman" w:eastAsia="Times New Roman" w:hAnsi="Times New Roman"/>
          <w:sz w:val="22"/>
          <w:szCs w:val="22"/>
          <w:color w:val="auto"/>
        </w:rPr>
        <w:t>”). Any such Global Warrant shall be deposited on behalf of the relevant Holders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540"/>
        <w:spacing w:after="0" w:line="225" w:lineRule="auto"/>
        <w:rPr>
          <w:sz w:val="20"/>
          <w:szCs w:val="20"/>
          <w:color w:val="auto"/>
        </w:rPr>
      </w:pPr>
      <w:r>
        <w:rPr>
          <w:rFonts w:ascii="Times New Roman" w:cs="Times New Roman" w:eastAsia="Times New Roman" w:hAnsi="Times New Roman"/>
          <w:sz w:val="22"/>
          <w:szCs w:val="22"/>
          <w:color w:val="auto"/>
        </w:rPr>
        <w:t>the Warrant Agent, as custodian for the Depositary (or with such other custodian as the Depositary may direct), registered in the name of the Depositary or a nominee of the Depositary, and duly executed by the Company and countersigned by the Warrant Agent as hereinafter provided.</w:t>
      </w:r>
    </w:p>
    <w:p>
      <w:pPr>
        <w:spacing w:after="0" w:line="153" w:lineRule="exact"/>
        <w:rPr>
          <w:sz w:val="20"/>
          <w:szCs w:val="20"/>
          <w:color w:val="auto"/>
        </w:rPr>
      </w:pPr>
    </w:p>
    <w:p>
      <w:pPr>
        <w:ind w:firstLine="1304"/>
        <w:spacing w:after="0" w:line="236" w:lineRule="auto"/>
        <w:tabs>
          <w:tab w:leader="none" w:pos="19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Definitive Warrants</w:t>
      </w:r>
      <w:r>
        <w:rPr>
          <w:rFonts w:ascii="Times New Roman" w:cs="Times New Roman" w:eastAsia="Times New Roman" w:hAnsi="Times New Roman"/>
          <w:sz w:val="22"/>
          <w:szCs w:val="22"/>
          <w:color w:val="auto"/>
        </w:rPr>
        <w:t xml:space="preserve">. Holders of Warrants or holders of beneficial interests in any Global Warrant will not be entitled to physical delivery of Definitive Warrants (except as provided in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18"/>
          <w:szCs w:val="18"/>
          <w:color w:val="auto"/>
        </w:rPr>
      </w:pPr>
    </w:p>
    <w:p>
      <w:pPr>
        <w:ind w:firstLine="1304"/>
        <w:spacing w:after="0" w:line="236" w:lineRule="auto"/>
        <w:tabs>
          <w:tab w:leader="none" w:pos="194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Procedures for Global Warrants</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2.01(c)</w:t>
      </w:r>
      <w:r>
        <w:rPr>
          <w:rFonts w:ascii="Times New Roman" w:cs="Times New Roman" w:eastAsia="Times New Roman" w:hAnsi="Times New Roman"/>
          <w:sz w:val="22"/>
          <w:szCs w:val="22"/>
          <w:color w:val="auto"/>
        </w:rPr>
        <w:t xml:space="preserve"> shall apply only to any Global Warrant deposited with or on behalf of the Depositary.</w:t>
      </w:r>
    </w:p>
    <w:p>
      <w:pPr>
        <w:spacing w:after="0" w:line="150" w:lineRule="exact"/>
        <w:rPr>
          <w:rFonts w:ascii="Times New Roman" w:cs="Times New Roman" w:eastAsia="Times New Roman" w:hAnsi="Times New Roman"/>
          <w:sz w:val="18"/>
          <w:szCs w:val="18"/>
          <w:color w:val="auto"/>
        </w:rPr>
      </w:pPr>
    </w:p>
    <w:p>
      <w:pPr>
        <w:jc w:val="both"/>
        <w:ind w:left="1540" w:firstLine="1303"/>
        <w:spacing w:after="0" w:line="227" w:lineRule="auto"/>
        <w:tabs>
          <w:tab w:leader="none" w:pos="3235"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 xml:space="preserve">If any Warrants are to be represented by a Global Warrant, the Company shall execute and the Warrant Agent shall, in accordance with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countersign and deliver initially one or more Global Warrants that (a) shall be registered in the name of the Depositary for such Global Warrant or Global Warrants or of the nominee of the Depositary and (b) shall be delivered by the Warrant Agent to the Depositary or pursuant to the Depositary’s instructions or held by the Warrant Agent as custodian for the Depositary.</w:t>
      </w:r>
    </w:p>
    <w:p>
      <w:pPr>
        <w:spacing w:after="0" w:line="153" w:lineRule="exact"/>
        <w:rPr>
          <w:rFonts w:ascii="Times New Roman" w:cs="Times New Roman" w:eastAsia="Times New Roman" w:hAnsi="Times New Roman"/>
          <w:sz w:val="17"/>
          <w:szCs w:val="17"/>
          <w:color w:val="auto"/>
        </w:rPr>
      </w:pPr>
    </w:p>
    <w:p>
      <w:pPr>
        <w:jc w:val="both"/>
        <w:ind w:left="1540" w:firstLine="1303"/>
        <w:spacing w:after="0" w:line="211" w:lineRule="auto"/>
        <w:tabs>
          <w:tab w:leader="none" w:pos="323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Members of, or participants in, the Depositary (“</w:t>
      </w:r>
      <w:r>
        <w:rPr>
          <w:rFonts w:ascii="Times New Roman" w:cs="Times New Roman" w:eastAsia="Times New Roman" w:hAnsi="Times New Roman"/>
          <w:sz w:val="22"/>
          <w:szCs w:val="22"/>
          <w:u w:val="single" w:color="auto"/>
          <w:color w:val="auto"/>
        </w:rPr>
        <w:t>Agent Members</w:t>
      </w:r>
      <w:r>
        <w:rPr>
          <w:rFonts w:ascii="Times New Roman" w:cs="Times New Roman" w:eastAsia="Times New Roman" w:hAnsi="Times New Roman"/>
          <w:sz w:val="22"/>
          <w:szCs w:val="22"/>
          <w:color w:val="auto"/>
        </w:rPr>
        <w:t>”) shall have no rights under this Agreement with respect to any Global Warrant held on their behalf by the Depositary or by the Warrant Agent as the custodian of the Depositary or under such Global Warrant, and the Depositary may be treated by the Company, the Warrant Agent and any agent of the Company or the Warrant Agent as the absolute owner of such Global Warrant for all purposes whatsoever. Notwithstanding the foregoing, nothing herein shall prevent the Company, the Warrant Agent or any agent of the Company or the Warrant Agent from giving effect to any written certification, proxy or other authorization furnished by the Depositary, or impair, as between the Depositary and its Agent Members, the operation of customary practices of the Depositary governing the exercise of the rights of a holder of a beneficial interest in any Global Warrant.</w:t>
      </w:r>
    </w:p>
    <w:p>
      <w:pPr>
        <w:spacing w:after="0" w:line="158" w:lineRule="exact"/>
        <w:rPr>
          <w:rFonts w:ascii="Times New Roman" w:cs="Times New Roman" w:eastAsia="Times New Roman" w:hAnsi="Times New Roman"/>
          <w:sz w:val="18"/>
          <w:szCs w:val="18"/>
          <w:color w:val="auto"/>
        </w:rPr>
      </w:pPr>
    </w:p>
    <w:p>
      <w:pPr>
        <w:jc w:val="both"/>
        <w:ind w:firstLine="1304"/>
        <w:spacing w:after="0" w:line="215" w:lineRule="auto"/>
        <w:tabs>
          <w:tab w:leader="none" w:pos="19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No Fractional Warrants</w:t>
      </w:r>
      <w:r>
        <w:rPr>
          <w:rFonts w:ascii="Times New Roman" w:cs="Times New Roman" w:eastAsia="Times New Roman" w:hAnsi="Times New Roman"/>
          <w:sz w:val="22"/>
          <w:szCs w:val="22"/>
          <w:color w:val="auto"/>
        </w:rPr>
        <w:t>. The Company shall not issue fractional Warrants or distribute Warrant Certificates which evidence fractional Warrants. If any fractional Warrant would otherwise be required to be issued or distributed pursuant to the Warrant Distribution, the Company or Warrant Agent, as applicable, to the extent reasonably practicable, shall first aggregate the total number of Warrants to be issued to the relevant holder of Common Stock or Other Eligible Recipient and then round down the total number to the nearest Whole Number and no cash or other adjustment will be made in lieu of the fraction of a Warrant so rounded down.</w:t>
      </w:r>
    </w:p>
    <w:p>
      <w:pPr>
        <w:spacing w:after="0" w:line="152" w:lineRule="exact"/>
        <w:rPr>
          <w:sz w:val="20"/>
          <w:szCs w:val="20"/>
          <w:color w:val="auto"/>
        </w:rPr>
      </w:pPr>
    </w:p>
    <w:p>
      <w:pPr>
        <w:jc w:val="both"/>
        <w:ind w:firstLine="972"/>
        <w:spacing w:after="0" w:line="225" w:lineRule="auto"/>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Warrant Certificates</w:t>
      </w:r>
      <w:r>
        <w:rPr>
          <w:rFonts w:ascii="Times New Roman" w:cs="Times New Roman" w:eastAsia="Times New Roman" w:hAnsi="Times New Roman"/>
          <w:sz w:val="22"/>
          <w:szCs w:val="22"/>
          <w:color w:val="auto"/>
        </w:rPr>
        <w:t>. If any Warrant Certificates are issued hereunder, then at least one Officer shall sign such Warrant Certificates for the Company by manual, facsimile or portable document format (“</w:t>
      </w:r>
      <w:r>
        <w:rPr>
          <w:rFonts w:ascii="Times New Roman" w:cs="Times New Roman" w:eastAsia="Times New Roman" w:hAnsi="Times New Roman"/>
          <w:sz w:val="22"/>
          <w:szCs w:val="22"/>
          <w:u w:val="single" w:color="auto"/>
          <w:color w:val="auto"/>
        </w:rPr>
        <w:t>PDF</w:t>
      </w:r>
      <w:r>
        <w:rPr>
          <w:rFonts w:ascii="Times New Roman" w:cs="Times New Roman" w:eastAsia="Times New Roman" w:hAnsi="Times New Roman"/>
          <w:sz w:val="22"/>
          <w:szCs w:val="22"/>
          <w:color w:val="auto"/>
        </w:rPr>
        <w:t>”) signature or by means of other electronic transmission.</w:t>
      </w:r>
    </w:p>
    <w:p>
      <w:pPr>
        <w:spacing w:after="0" w:line="152" w:lineRule="exact"/>
        <w:rPr>
          <w:sz w:val="20"/>
          <w:szCs w:val="20"/>
          <w:color w:val="auto"/>
        </w:rPr>
      </w:pPr>
    </w:p>
    <w:p>
      <w:pPr>
        <w:ind w:right="20" w:firstLine="1304"/>
        <w:spacing w:after="0" w:line="255" w:lineRule="auto"/>
        <w:tabs>
          <w:tab w:leader="none" w:pos="194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If an Officer whose signature is on a Warrant Certificate no longer holds that office at the time the Warrant Agent countersigns the Warrant Certificate, the Warrants evidenced by such Warrant Certificate shall be valid, nevertheless.</w:t>
      </w:r>
    </w:p>
    <w:p>
      <w:pPr>
        <w:spacing w:after="0" w:line="134" w:lineRule="exact"/>
        <w:rPr>
          <w:rFonts w:ascii="Times New Roman" w:cs="Times New Roman" w:eastAsia="Times New Roman" w:hAnsi="Times New Roman"/>
          <w:sz w:val="17"/>
          <w:szCs w:val="17"/>
          <w:color w:val="auto"/>
        </w:rPr>
      </w:pPr>
    </w:p>
    <w:p>
      <w:pPr>
        <w:jc w:val="both"/>
        <w:ind w:right="20" w:firstLine="1304"/>
        <w:spacing w:after="0" w:line="225" w:lineRule="auto"/>
        <w:tabs>
          <w:tab w:leader="none" w:pos="193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At any time and from time to time after the execution of this Agreement, the Warrant Agent shall, upon receipt of a written order of the Company signed by an Officer of the Company, countersign, either by manual, facsimile, PDF signature or by means of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electronic transmission, and issue a Warrant Certificate evidencing the number of Warrants specified in such order. Such order shall specify the number of Warrants to be evidenced on the Warrant Certificate to be countersigned, the date on which such Warrant Certificate is to be countersigned, whether such Warrant Certificate is to be a Global Warrant or a Definitive Warrant, and the number of Warrants then authorized. Each Warrant shall be dated the date of its countersignature.</w:t>
      </w:r>
    </w:p>
    <w:p>
      <w:pPr>
        <w:spacing w:after="0" w:line="151" w:lineRule="exact"/>
        <w:rPr>
          <w:sz w:val="20"/>
          <w:szCs w:val="20"/>
          <w:color w:val="auto"/>
        </w:rPr>
      </w:pPr>
    </w:p>
    <w:p>
      <w:pPr>
        <w:ind w:left="1940" w:hanging="636"/>
        <w:spacing w:after="0"/>
        <w:tabs>
          <w:tab w:leader="none" w:pos="1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The Warrants (whether or not evidenced by a Warrant Certificate) shall not be valid until registered on the</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22"/>
          <w:szCs w:val="22"/>
          <w:color w:val="auto"/>
        </w:rPr>
        <w:t>Warrant Register.</w:t>
      </w:r>
    </w:p>
    <w:p>
      <w:pPr>
        <w:spacing w:after="0" w:line="155" w:lineRule="exact"/>
        <w:rPr>
          <w:sz w:val="20"/>
          <w:szCs w:val="20"/>
          <w:color w:val="auto"/>
        </w:rPr>
      </w:pPr>
    </w:p>
    <w:p>
      <w:pPr>
        <w:jc w:val="both"/>
        <w:ind w:firstLine="972"/>
        <w:spacing w:after="0" w:line="215" w:lineRule="auto"/>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Warrant Register</w:t>
      </w:r>
      <w:r>
        <w:rPr>
          <w:rFonts w:ascii="Times New Roman" w:cs="Times New Roman" w:eastAsia="Times New Roman" w:hAnsi="Times New Roman"/>
          <w:sz w:val="22"/>
          <w:szCs w:val="22"/>
          <w:color w:val="auto"/>
        </w:rPr>
        <w:t>. The Warrants shall be issued in registered form only. Upon the receipt of all relevant information from the Company or its agents, the Warrant Agent shall keep a register (the “</w:t>
      </w:r>
      <w:r>
        <w:rPr>
          <w:rFonts w:ascii="Times New Roman" w:cs="Times New Roman" w:eastAsia="Times New Roman" w:hAnsi="Times New Roman"/>
          <w:sz w:val="22"/>
          <w:szCs w:val="22"/>
          <w:u w:val="single" w:color="auto"/>
          <w:color w:val="auto"/>
        </w:rPr>
        <w:t>Warrant Register</w:t>
      </w:r>
      <w:r>
        <w:rPr>
          <w:rFonts w:ascii="Times New Roman" w:cs="Times New Roman" w:eastAsia="Times New Roman" w:hAnsi="Times New Roman"/>
          <w:sz w:val="22"/>
          <w:szCs w:val="22"/>
          <w:color w:val="auto"/>
        </w:rPr>
        <w:t>”) of the Warrants (and Warrant Certificates, if applicable) and of their transfer and exchange. The Warrant Register shall show the names and addresses of the respective Holders and the date and number of Warrants owned by such Holders (as evidenced on the face of each of the Warrant Certificates, if applicable). The Holder of any Global Warrant will be the Depositary or a nominee in whose name the Global Warrant is registered.</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Company and the Warrant Agent may deem and treat the Person in whose name Warrants are registered in the Warrant Register as the absolute owner of such Warrants for all purposes and regardless of any notice to the contrary.</w:t>
      </w:r>
    </w:p>
    <w:p>
      <w:pPr>
        <w:spacing w:after="0" w:line="131"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2.04</w:t>
      </w:r>
      <w:r>
        <w:rPr>
          <w:sz w:val="20"/>
          <w:szCs w:val="20"/>
          <w:color w:val="auto"/>
        </w:rPr>
        <w:tab/>
      </w:r>
      <w:r>
        <w:rPr>
          <w:rFonts w:ascii="Times New Roman" w:cs="Times New Roman" w:eastAsia="Times New Roman" w:hAnsi="Times New Roman"/>
          <w:sz w:val="21"/>
          <w:szCs w:val="21"/>
          <w:u w:val="single" w:color="auto"/>
          <w:color w:val="auto"/>
        </w:rPr>
        <w:t>Transfer and Exchange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1940" w:hanging="636"/>
        <w:spacing w:after="0"/>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Transfer and Exchange of Warrants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18"/>
          <w:szCs w:val="18"/>
          <w:color w:val="auto"/>
        </w:rPr>
      </w:pPr>
    </w:p>
    <w:p>
      <w:pPr>
        <w:jc w:val="both"/>
        <w:ind w:left="1540" w:firstLine="1303"/>
        <w:spacing w:after="0" w:line="212" w:lineRule="auto"/>
        <w:tabs>
          <w:tab w:leader="none" w:pos="323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transfer and exchange of Warrants or beneficial interests therein shall be effected through the Company’s direct registration system or the Warrant Agent’s other book-entry procedures and, in the case of any Global Warrants, the Depositary, in each case in accordance with this Agreement and the procedures of the Warrant Agent and, as applicable, the Depositary therefor. The Company may instruct the Warrant Agent from time to time that Warrants held by a member of the Board of Directors, an Officer of the Company or an Affiliate of the Company are subject to restrictions on transfers or exchanges related to compliance with applicable securities laws, in which case the Warrant Agent shall not permit the transfer or exchange of such Warrants without the consent of the Company.</w:t>
      </w:r>
    </w:p>
    <w:p>
      <w:pPr>
        <w:spacing w:after="0" w:line="156" w:lineRule="exact"/>
        <w:rPr>
          <w:rFonts w:ascii="Times New Roman" w:cs="Times New Roman" w:eastAsia="Times New Roman" w:hAnsi="Times New Roman"/>
          <w:sz w:val="18"/>
          <w:szCs w:val="18"/>
          <w:color w:val="auto"/>
        </w:rPr>
      </w:pPr>
    </w:p>
    <w:p>
      <w:pPr>
        <w:jc w:val="both"/>
        <w:ind w:left="1540" w:firstLine="1303"/>
        <w:spacing w:after="0" w:line="220" w:lineRule="auto"/>
        <w:tabs>
          <w:tab w:leader="none" w:pos="323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2.04(a)(iii)</w:t>
      </w:r>
      <w:r>
        <w:rPr>
          <w:rFonts w:ascii="Times New Roman" w:cs="Times New Roman" w:eastAsia="Times New Roman" w:hAnsi="Times New Roman"/>
          <w:sz w:val="22"/>
          <w:szCs w:val="22"/>
          <w:color w:val="auto"/>
        </w:rPr>
        <w:t>, a Global Warrant may only be transferred as a whole, and not in part, and only by (x) the Depositary to a nominee of the Depositary, (y) a nominee of the Depositary to the Depositary or another nominee of the Depositary or (z) the Depositary or any such nominee to a successor Depositary or its nominee.</w:t>
      </w:r>
    </w:p>
    <w:p>
      <w:pPr>
        <w:spacing w:after="0" w:line="152" w:lineRule="exact"/>
        <w:rPr>
          <w:rFonts w:ascii="Times New Roman" w:cs="Times New Roman" w:eastAsia="Times New Roman" w:hAnsi="Times New Roman"/>
          <w:sz w:val="18"/>
          <w:szCs w:val="18"/>
          <w:color w:val="auto"/>
        </w:rPr>
      </w:pPr>
    </w:p>
    <w:p>
      <w:pPr>
        <w:jc w:val="both"/>
        <w:ind w:left="1540" w:firstLine="1303"/>
        <w:spacing w:after="0" w:line="220" w:lineRule="auto"/>
        <w:tabs>
          <w:tab w:leader="none" w:pos="324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In the event that a Global Warrant is exchanged and transferred for Definitive Warrants pursuant to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such Warrants may be exchanged only in accordance with such procedures as are substantially consistent with the provisions of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and such other procedures as may from time to time be adopted by the Company.</w:t>
      </w:r>
    </w:p>
    <w:p>
      <w:pPr>
        <w:spacing w:after="0" w:line="152" w:lineRule="exact"/>
        <w:rPr>
          <w:rFonts w:ascii="Times New Roman" w:cs="Times New Roman" w:eastAsia="Times New Roman" w:hAnsi="Times New Roman"/>
          <w:sz w:val="18"/>
          <w:szCs w:val="18"/>
          <w:color w:val="auto"/>
        </w:rPr>
      </w:pPr>
    </w:p>
    <w:p>
      <w:pPr>
        <w:jc w:val="both"/>
        <w:ind w:left="1540" w:firstLine="1303"/>
        <w:spacing w:after="0" w:line="225" w:lineRule="auto"/>
        <w:tabs>
          <w:tab w:leader="none" w:pos="323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Warrant Agent may register the transfer of any Definitive Warrant upon written request of the Holder delivered to the Warrant Agent and surrender of the Warrant Certificates to be transferred, split 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540"/>
        <w:spacing w:after="0" w:line="212" w:lineRule="auto"/>
        <w:rPr>
          <w:sz w:val="20"/>
          <w:szCs w:val="20"/>
          <w:color w:val="auto"/>
        </w:rPr>
      </w:pPr>
      <w:r>
        <w:rPr>
          <w:rFonts w:ascii="Times New Roman" w:cs="Times New Roman" w:eastAsia="Times New Roman" w:hAnsi="Times New Roman"/>
          <w:sz w:val="22"/>
          <w:szCs w:val="22"/>
          <w:color w:val="auto"/>
        </w:rPr>
        <w:t>combined or exchanged, together with the form of assignment and certificate duly executed and properly completed and such other documentation that the Company or the Warrant Agent may reasonably request, at the office of the Warrant Agent designated for such purpose. Any requested transfer of Warrants shall be accompanied by reasonable evidence of authority of the party making such request, which evidence shall include a signature guarantee from an eligible guarantor institution participating in a signature guarantee program approved by the Securities Transfer Association. Upon any such transfer, one or more new Definitive Warrants representing an equal aggregate number of Definitive Warrants shall be issued and the transferred certificate shall be canceled.</w:t>
      </w:r>
    </w:p>
    <w:p>
      <w:pPr>
        <w:spacing w:after="0" w:line="156" w:lineRule="exact"/>
        <w:rPr>
          <w:sz w:val="20"/>
          <w:szCs w:val="20"/>
          <w:color w:val="auto"/>
        </w:rPr>
      </w:pPr>
    </w:p>
    <w:p>
      <w:pPr>
        <w:jc w:val="both"/>
        <w:ind w:firstLine="1304"/>
        <w:spacing w:after="0" w:line="213" w:lineRule="auto"/>
        <w:tabs>
          <w:tab w:leader="none" w:pos="193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Cancellation or Adjustment of Global Warrant</w:t>
      </w:r>
      <w:r>
        <w:rPr>
          <w:rFonts w:ascii="Times New Roman" w:cs="Times New Roman" w:eastAsia="Times New Roman" w:hAnsi="Times New Roman"/>
          <w:sz w:val="22"/>
          <w:szCs w:val="22"/>
          <w:color w:val="auto"/>
        </w:rPr>
        <w:t>. At such time as all beneficial interests in a Global Warrant have been exchanged for Definitive Warrants, redeemed, repurchased or canceled, such Global Warrant shall be returned to the Depositary for cancellation or retained and canceled by the Warrant Agent. At any time prior to such cancellation, if any beneficial interest in a Global Warrant is exchanged for Definitive Warrants, repurchased or canceled, the number of Warrants represented by such Global Warrant shall be reduced and an adjustment shall be made on the books and records of the Warrant Agent (if it is then the Warrant Custodian for such Global Warrant) with respect to such Global Warrant, by the Warrant Agent, to reflect such reduction.</w:t>
      </w:r>
    </w:p>
    <w:p>
      <w:pPr>
        <w:spacing w:after="0" w:line="156"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Obligations with Respect to Transfers and Exchanges of Warrants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18"/>
          <w:szCs w:val="18"/>
          <w:color w:val="auto"/>
        </w:rPr>
      </w:pPr>
    </w:p>
    <w:p>
      <w:pPr>
        <w:jc w:val="both"/>
        <w:ind w:left="1540" w:firstLine="1303"/>
        <w:spacing w:after="0" w:line="220" w:lineRule="auto"/>
        <w:tabs>
          <w:tab w:leader="none" w:pos="323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To permit registrations of transfers and exchanges, the Company shall execute and the Warrant Agent shall countersign, by either manual, facsimile or PDF signature or by means of other electronic transmission, any Global Warrants and Definitive Warrants, if applicable, as required subject to the provisions of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18"/>
          <w:szCs w:val="18"/>
          <w:color w:val="auto"/>
        </w:rPr>
      </w:pPr>
    </w:p>
    <w:p>
      <w:pPr>
        <w:jc w:val="both"/>
        <w:ind w:left="1540" w:firstLine="1303"/>
        <w:spacing w:after="0" w:line="225" w:lineRule="auto"/>
        <w:tabs>
          <w:tab w:leader="none" w:pos="323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 service charge shall be made for any registration of transfer or exchange. Any transfer tax, assessments, or similar governmental charge payable in connection with any registration of transfer or exchange shall be paid by the Holder.</w:t>
      </w:r>
    </w:p>
    <w:p>
      <w:pPr>
        <w:spacing w:after="0" w:line="152" w:lineRule="exact"/>
        <w:rPr>
          <w:rFonts w:ascii="Times New Roman" w:cs="Times New Roman" w:eastAsia="Times New Roman" w:hAnsi="Times New Roman"/>
          <w:sz w:val="18"/>
          <w:szCs w:val="18"/>
          <w:color w:val="auto"/>
        </w:rPr>
      </w:pPr>
    </w:p>
    <w:p>
      <w:pPr>
        <w:jc w:val="both"/>
        <w:ind w:left="1540" w:firstLine="1303"/>
        <w:spacing w:after="0" w:line="217" w:lineRule="auto"/>
        <w:tabs>
          <w:tab w:leader="none" w:pos="324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Company may require payment from the Holder of a sum sufficient to cover any tax or governmental charge that may be imposed in connection with any transfer, split up, combination or exchange of Warrants. The Warrant Agent shall not have any duty or obligation to take any action under any section of this Agreement or any Warrant that requires the payment of taxes and/or charges unless and until the Warrant Agent is reasonably satisfied that all such payments have been made.</w:t>
      </w:r>
    </w:p>
    <w:p>
      <w:pPr>
        <w:spacing w:after="0" w:line="152" w:lineRule="exact"/>
        <w:rPr>
          <w:rFonts w:ascii="Times New Roman" w:cs="Times New Roman" w:eastAsia="Times New Roman" w:hAnsi="Times New Roman"/>
          <w:sz w:val="18"/>
          <w:szCs w:val="18"/>
          <w:color w:val="auto"/>
        </w:rPr>
      </w:pPr>
    </w:p>
    <w:p>
      <w:pPr>
        <w:jc w:val="both"/>
        <w:ind w:left="1540" w:firstLine="1303"/>
        <w:spacing w:after="0" w:line="236" w:lineRule="auto"/>
        <w:tabs>
          <w:tab w:leader="none" w:pos="3231"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Prior to the due presentation for registration of transfer of any Warrant, the Company and the Warrant Agent may deem and treat the Person in whose name Warrants are registered as the absolute owner of such Warrants, and neither the Company nor the Warrant Agent shall be affected by notice to the contrary.</w:t>
      </w:r>
    </w:p>
    <w:p>
      <w:pPr>
        <w:spacing w:after="0" w:line="151" w:lineRule="exact"/>
        <w:rPr>
          <w:rFonts w:ascii="Times New Roman" w:cs="Times New Roman" w:eastAsia="Times New Roman" w:hAnsi="Times New Roman"/>
          <w:sz w:val="17"/>
          <w:szCs w:val="17"/>
          <w:color w:val="auto"/>
        </w:rPr>
      </w:pPr>
    </w:p>
    <w:p>
      <w:pPr>
        <w:jc w:val="both"/>
        <w:ind w:left="1540" w:firstLine="1303"/>
        <w:spacing w:after="0" w:line="225" w:lineRule="auto"/>
        <w:tabs>
          <w:tab w:leader="none" w:pos="323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All Warrants issued upon any transfer or exchange pursuant to the terms of this Agreement shall be valid obligations of the Company, entitled to the same benefits under this Agreement as the Warrants surrendered upon such transfer or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1304"/>
        <w:spacing w:after="0" w:line="211" w:lineRule="auto"/>
        <w:tabs>
          <w:tab w:leader="none" w:pos="193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No Obligation of the Warrant Agent</w:t>
      </w:r>
      <w:r>
        <w:rPr>
          <w:rFonts w:ascii="Times New Roman" w:cs="Times New Roman" w:eastAsia="Times New Roman" w:hAnsi="Times New Roman"/>
          <w:sz w:val="22"/>
          <w:szCs w:val="22"/>
          <w:color w:val="auto"/>
        </w:rPr>
        <w:t>. The Warrant Agent shall have no responsibility or obligation to any beneficial owner of a Global Warrant, an Agent Member or other Person with respect to the accuracy of the records of the Depositary or its nominee or of any participant or member thereof, with respect to any ownership interest in the Warrants or with respect to the delivery to any participant, member, beneficial owner or other Person (other than the Depositary) of any notice, or the payment of any amount, under or with respect to such Warrants. All notices and communications to be given to the Holders and all payments to be made to Holders under the Warrants shall be given or made only to or upon the order of the registered Holders (which shall be the Depositary or its nominee in the case of a Global Warrant). The rights of beneficial owners in any Global Warrant shall be exercised only through the Depositary subject to the applicable rules and procedures of the Depositary. The Warrant Agent may rely and shall be fully protected in relying upon information furnished by the Depositary with respect to its members, participants and any beneficial owners.</w:t>
      </w:r>
    </w:p>
    <w:p>
      <w:pPr>
        <w:spacing w:after="0" w:line="152"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2.05</w:t>
      </w:r>
      <w:r>
        <w:rPr>
          <w:sz w:val="20"/>
          <w:szCs w:val="20"/>
          <w:color w:val="auto"/>
        </w:rPr>
        <w:tab/>
      </w:r>
      <w:r>
        <w:rPr>
          <w:rFonts w:ascii="Times New Roman" w:cs="Times New Roman" w:eastAsia="Times New Roman" w:hAnsi="Times New Roman"/>
          <w:sz w:val="21"/>
          <w:szCs w:val="21"/>
          <w:u w:val="single" w:color="auto"/>
          <w:color w:val="auto"/>
        </w:rPr>
        <w:t>Definitive Warrants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08" w:lineRule="auto"/>
        <w:tabs>
          <w:tab w:leader="none" w:pos="194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2.05(e)</w:t>
      </w:r>
      <w:r>
        <w:rPr>
          <w:rFonts w:ascii="Times New Roman" w:cs="Times New Roman" w:eastAsia="Times New Roman" w:hAnsi="Times New Roman"/>
          <w:sz w:val="22"/>
          <w:szCs w:val="22"/>
          <w:color w:val="auto"/>
        </w:rPr>
        <w:t xml:space="preserve">, beneficial interests in a Global Warrant deposited with the Depositary or with the Warrant Agent as custodian shall be transferred to the beneficial owners thereof in the form of Definitive Warrants in a number equal to the number of Warrants represented by such Global Warrant, in exchange for such Global Warrant, only if such transfer complies with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and (i) the Depositary notifies the Company that it is unwilling or unable to continue as depositary for such Global Warrant or if at any time the Depositary ceases to be a “clearing agency” registered under the Exchange Act and, in each such case, a successor depositary is not appointed by the Company within 90 days of such notice, or</w:t>
      </w:r>
    </w:p>
    <w:p>
      <w:pPr>
        <w:spacing w:after="0" w:line="4" w:lineRule="exact"/>
        <w:rPr>
          <w:rFonts w:ascii="Times New Roman" w:cs="Times New Roman" w:eastAsia="Times New Roman" w:hAnsi="Times New Roman"/>
          <w:sz w:val="18"/>
          <w:szCs w:val="18"/>
          <w:color w:val="auto"/>
        </w:rPr>
      </w:pPr>
    </w:p>
    <w:p>
      <w:pPr>
        <w:jc w:val="both"/>
        <w:ind w:firstLine="8"/>
        <w:spacing w:after="0" w:line="218" w:lineRule="auto"/>
        <w:tabs>
          <w:tab w:leader="none" w:pos="34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in its sole discretion, notifies the Warrant Agent in writing that it elects to cause the issuance of Definitive Warrants under this Agreement. In such event, the transfer, exchange or exercise of the Warrants shall be conducted in accordance with the customary procedures of the Warrant Agent.</w:t>
      </w:r>
    </w:p>
    <w:p>
      <w:pPr>
        <w:spacing w:after="0" w:line="150"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Any Global Warrant that is transferable to the beneficial owners thereof pursuant to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shall be surrendered by the Depositary to the Warrant Agent, to be so transferred, in whole or from time to time in part, without charge, and the Warrant Agent shall countersign, by either manual, facsimile or PDF signature or by means of other electronic transmission, and deliver to each beneficial owner in the name of such beneficial owner, upon such transfer of each portion of such Global Warrant, Definitive Warrants evidencing a number of Warrants equivalent to such beneficial owner’s beneficial interest in the Global Warrant. The Warrant Agent shall register such transfer in the Warrant Register, and upon such transfer the surrendered Global Warrant shall be canceled by the Warrant Agent. Any such Definitive Warrants shall bear such restrictive legends as the Company may instruct.</w:t>
      </w:r>
    </w:p>
    <w:p>
      <w:pPr>
        <w:spacing w:after="0" w:line="156" w:lineRule="exact"/>
        <w:rPr>
          <w:rFonts w:ascii="Times New Roman" w:cs="Times New Roman" w:eastAsia="Times New Roman" w:hAnsi="Times New Roman"/>
          <w:sz w:val="18"/>
          <w:szCs w:val="18"/>
          <w:color w:val="auto"/>
        </w:rPr>
      </w:pPr>
    </w:p>
    <w:p>
      <w:pPr>
        <w:jc w:val="both"/>
        <w:ind w:firstLine="1304"/>
        <w:spacing w:after="0" w:line="225" w:lineRule="auto"/>
        <w:tabs>
          <w:tab w:leader="none" w:pos="194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Subject to the provisions of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 the registered Holder of a Global Warrant may grant proxies and otherwise authorize any Person, including Agent Members and Persons that may hold interests through Agent Members, to take any action that a Holder is entitled to take under this Agreement or the Warrants.</w:t>
      </w:r>
    </w:p>
    <w:p>
      <w:pPr>
        <w:spacing w:after="0" w:line="152" w:lineRule="exact"/>
        <w:rPr>
          <w:rFonts w:ascii="Times New Roman" w:cs="Times New Roman" w:eastAsia="Times New Roman" w:hAnsi="Times New Roman"/>
          <w:sz w:val="18"/>
          <w:szCs w:val="18"/>
          <w:color w:val="auto"/>
        </w:rPr>
      </w:pPr>
    </w:p>
    <w:p>
      <w:pPr>
        <w:ind w:right="20" w:firstLine="1304"/>
        <w:spacing w:after="0" w:line="236" w:lineRule="auto"/>
        <w:tabs>
          <w:tab w:leader="none" w:pos="193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In the event of the occurrence of either of the events specified in </w:t>
      </w:r>
      <w:r>
        <w:rPr>
          <w:rFonts w:ascii="Times New Roman" w:cs="Times New Roman" w:eastAsia="Times New Roman" w:hAnsi="Times New Roman"/>
          <w:sz w:val="22"/>
          <w:szCs w:val="22"/>
          <w:u w:val="single" w:color="auto"/>
          <w:color w:val="auto"/>
        </w:rPr>
        <w:t>Section 2.05(a)</w:t>
      </w:r>
      <w:r>
        <w:rPr>
          <w:rFonts w:ascii="Times New Roman" w:cs="Times New Roman" w:eastAsia="Times New Roman" w:hAnsi="Times New Roman"/>
          <w:sz w:val="22"/>
          <w:szCs w:val="22"/>
          <w:color w:val="auto"/>
        </w:rPr>
        <w:t>, the Company will promptly make available to the Warrant Agent a reasonable supply of Definitive Warrants in definitive, fully registered form.</w:t>
      </w:r>
    </w:p>
    <w:p>
      <w:pPr>
        <w:spacing w:after="0" w:line="150" w:lineRule="exact"/>
        <w:rPr>
          <w:rFonts w:ascii="Times New Roman" w:cs="Times New Roman" w:eastAsia="Times New Roman" w:hAnsi="Times New Roman"/>
          <w:sz w:val="18"/>
          <w:szCs w:val="18"/>
          <w:color w:val="auto"/>
        </w:rPr>
      </w:pPr>
    </w:p>
    <w:p>
      <w:pPr>
        <w:jc w:val="both"/>
        <w:ind w:firstLine="1304"/>
        <w:spacing w:after="0" w:line="225" w:lineRule="auto"/>
        <w:tabs>
          <w:tab w:leader="none" w:pos="194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Depositary shall notify the Warrant Agent of the names and the amounts in which the Definitive Warrants will be issued. Neither the Company nor the Warrant Agent will be liable or responsible for any names or any amounts provided by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1304"/>
        <w:spacing w:after="0" w:line="225" w:lineRule="auto"/>
        <w:tabs>
          <w:tab w:leader="none" w:pos="19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Notwithstanding the foregoing, in lieu of issuing a Definitive Warrant to any Person, the Warrant Agent may, upon the Company’s instruction, register Warrants in the name of such Person through the Company’s direct registration system or the Warrant Agent’s other book-entry procedures.</w:t>
      </w:r>
    </w:p>
    <w:p>
      <w:pPr>
        <w:spacing w:after="0" w:line="152" w:lineRule="exact"/>
        <w:rPr>
          <w:sz w:val="20"/>
          <w:szCs w:val="20"/>
          <w:color w:val="auto"/>
        </w:rPr>
      </w:pPr>
    </w:p>
    <w:p>
      <w:pPr>
        <w:jc w:val="both"/>
        <w:ind w:firstLine="729"/>
        <w:spacing w:after="0" w:line="210" w:lineRule="auto"/>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Replacement Certificates</w:t>
      </w:r>
      <w:r>
        <w:rPr>
          <w:rFonts w:ascii="Times New Roman" w:cs="Times New Roman" w:eastAsia="Times New Roman" w:hAnsi="Times New Roman"/>
          <w:sz w:val="22"/>
          <w:szCs w:val="22"/>
          <w:color w:val="auto"/>
        </w:rPr>
        <w:t>. If a mutilated Warrant Certificate is surrendered to the Warrant Agent or if the Holder of a Warrant Certificate provides proof reasonably satisfactory to the Company and the Warrant Agent that the Warrant Certificate has been lost, destroyed or wrongfully taken, the Company shall issue and the Warrant Agent shall countersign, by either manual, facsimile or PDF signature or by means of other electronic transmission, a replacement Warrant Certificate representing an equivalent number of Warrants, if the reasonable requirements of the Warrant Agent are met and absent notice to Warrant Agent that such certificates have been acquired by a bona fide purchaser. Such Holder shall furnish an open penalty surety bond sufficient in the judgment of the Company and the Warrant Agent to protect the Company and the Warrant Agent from any loss that either of them may suffer if a Warrant Certificate is replaced. The Warrant Agent may, at its option, issue replacement Warrants for mutilated certificates upon presentation thereof without such indemnity. The Company and the Warrant Agent may charge the Holder for their expenses in replacing a Warrant Certificate. Every replacement Warrant Certificate evidences an additional obligation of the Company.</w:t>
      </w:r>
    </w:p>
    <w:p>
      <w:pPr>
        <w:spacing w:after="0" w:line="157" w:lineRule="exact"/>
        <w:rPr>
          <w:sz w:val="20"/>
          <w:szCs w:val="20"/>
          <w:color w:val="auto"/>
        </w:rPr>
      </w:pPr>
    </w:p>
    <w:p>
      <w:pPr>
        <w:jc w:val="both"/>
        <w:ind w:firstLine="729"/>
        <w:spacing w:after="0" w:line="217" w:lineRule="auto"/>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u w:val="single" w:color="auto"/>
          <w:color w:val="auto"/>
        </w:rPr>
        <w:t>Outstanding Warrants</w:t>
      </w:r>
      <w:r>
        <w:rPr>
          <w:rFonts w:ascii="Times New Roman" w:cs="Times New Roman" w:eastAsia="Times New Roman" w:hAnsi="Times New Roman"/>
          <w:sz w:val="22"/>
          <w:szCs w:val="22"/>
          <w:color w:val="auto"/>
        </w:rPr>
        <w:t>. All Warrants evidenced as outstanding in the Warrant Register shall be deemed to be outstanding for purposes of this Agreement (which, in the case of Warrants represented by Warrant Certificates, shall include all Warrant Certificates authenticated by the Warrant Agent excluding those canceled by it and those delivered to it for cancellation). A Warrant does not cease to be outstanding because an Affiliate of the Company holds the Warrant. A Warrant ceases to be outstanding if the Company holds the Warrant.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If a Warrant Certificate is replaced pursuant to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the Warrants evidenced thereby cease to be outstanding unless the Warrant Agent and the Company receive proof satisfactory to them that the replaced Warrant Certificate is held by a protected purchaser (as defined for purposes of the Delaware Uniform Commercial Code).</w:t>
      </w:r>
    </w:p>
    <w:p>
      <w:pPr>
        <w:spacing w:after="0" w:line="159" w:lineRule="exact"/>
        <w:rPr>
          <w:sz w:val="20"/>
          <w:szCs w:val="20"/>
          <w:color w:val="auto"/>
        </w:rPr>
      </w:pPr>
    </w:p>
    <w:p>
      <w:pPr>
        <w:jc w:val="both"/>
        <w:ind w:firstLine="729"/>
        <w:spacing w:after="0" w:line="236" w:lineRule="auto"/>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u w:val="single" w:color="auto"/>
          <w:color w:val="auto"/>
        </w:rPr>
        <w:t>Cancellation</w:t>
      </w:r>
      <w:r>
        <w:rPr>
          <w:rFonts w:ascii="Times New Roman" w:cs="Times New Roman" w:eastAsia="Times New Roman" w:hAnsi="Times New Roman"/>
          <w:sz w:val="22"/>
          <w:szCs w:val="22"/>
          <w:color w:val="auto"/>
        </w:rPr>
        <w:t>. In the event the Company shall purchase or otherwise acquire Definitive Warrants, the Company may, at its option, deliver the same to the Warrant Agent for cancellation.</w:t>
      </w:r>
    </w:p>
    <w:p>
      <w:pPr>
        <w:spacing w:after="0" w:line="17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Warrant Agent and no one else shall cancel all Warrant Certificates surrendered for transfer, exchange, replacement, exercise or cancellation. The Company may not issue new Warrant Certificates to replace Warrant Certificates to the extent they evidence Warrants which have been exercised or Warrants which the Company has canceled.</w:t>
      </w:r>
    </w:p>
    <w:p>
      <w:pPr>
        <w:spacing w:after="0" w:line="146" w:lineRule="exact"/>
        <w:rPr>
          <w:sz w:val="20"/>
          <w:szCs w:val="20"/>
          <w:color w:val="auto"/>
        </w:rPr>
      </w:pPr>
    </w:p>
    <w:p>
      <w:pPr>
        <w:jc w:val="both"/>
        <w:ind w:firstLine="729"/>
        <w:spacing w:after="0" w:line="217" w:lineRule="auto"/>
        <w:rPr>
          <w:sz w:val="20"/>
          <w:szCs w:val="20"/>
          <w:color w:val="auto"/>
        </w:rPr>
      </w:pPr>
      <w:r>
        <w:rPr>
          <w:rFonts w:ascii="Times New Roman" w:cs="Times New Roman" w:eastAsia="Times New Roman" w:hAnsi="Times New Roman"/>
          <w:sz w:val="22"/>
          <w:szCs w:val="22"/>
          <w:color w:val="auto"/>
        </w:rPr>
        <w:t xml:space="preserve">Section 2.09 </w:t>
      </w:r>
      <w:r>
        <w:rPr>
          <w:rFonts w:ascii="Times New Roman" w:cs="Times New Roman" w:eastAsia="Times New Roman" w:hAnsi="Times New Roman"/>
          <w:sz w:val="22"/>
          <w:szCs w:val="22"/>
          <w:u w:val="single" w:color="auto"/>
          <w:color w:val="auto"/>
        </w:rPr>
        <w:t>CUSIP Numbers</w:t>
      </w:r>
      <w:r>
        <w:rPr>
          <w:rFonts w:ascii="Times New Roman" w:cs="Times New Roman" w:eastAsia="Times New Roman" w:hAnsi="Times New Roman"/>
          <w:sz w:val="22"/>
          <w:szCs w:val="22"/>
          <w:color w:val="auto"/>
        </w:rPr>
        <w:t>. The Company has assigned a “CUSIP” number in connection with the issuance of the Warrants and the Warrant Agent may use such “CUSIP” number in notices as a convenience to Holders; provided, however, that any such notice shall state that no representation is made as to the correctness of such numbers either as printed on the Warrant Certificates or as contained in any notice and that reliance may be placed only on the other identification numbers printed on the Warrant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EXERCISE TERMS</w:t>
      </w:r>
    </w:p>
    <w:p>
      <w:pPr>
        <w:spacing w:after="0" w:line="183" w:lineRule="exact"/>
        <w:rPr>
          <w:sz w:val="20"/>
          <w:szCs w:val="20"/>
          <w:color w:val="auto"/>
        </w:rPr>
      </w:pPr>
    </w:p>
    <w:p>
      <w:pPr>
        <w:ind w:left="74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3.01</w:t>
      </w:r>
      <w:r>
        <w:rPr>
          <w:sz w:val="20"/>
          <w:szCs w:val="20"/>
          <w:color w:val="auto"/>
        </w:rPr>
        <w:tab/>
      </w:r>
      <w:r>
        <w:rPr>
          <w:rFonts w:ascii="Times New Roman" w:cs="Times New Roman" w:eastAsia="Times New Roman" w:hAnsi="Times New Roman"/>
          <w:sz w:val="21"/>
          <w:szCs w:val="21"/>
          <w:u w:val="single" w:color="auto"/>
          <w:color w:val="auto"/>
        </w:rPr>
        <w:t>Exercise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5" w:lineRule="auto"/>
        <w:tabs>
          <w:tab w:leader="none" w:pos="194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Each Warrant shall entitle the Holder thereof to purchase, during the Exercise Period, for each Warrant evidenced thereby, a number of shares of Common Stock equal to the Warrant Exercise Rate in effect immediately prior to the Close of Business on the relevant Exercise Date, subject to </w:t>
      </w:r>
      <w:r>
        <w:rPr>
          <w:rFonts w:ascii="Times New Roman" w:cs="Times New Roman" w:eastAsia="Times New Roman" w:hAnsi="Times New Roman"/>
          <w:sz w:val="22"/>
          <w:szCs w:val="22"/>
          <w:u w:val="single" w:color="auto"/>
          <w:color w:val="auto"/>
        </w:rPr>
        <w:t>Section 3.06</w:t>
      </w:r>
      <w:r>
        <w:rPr>
          <w:rFonts w:ascii="Times New Roman" w:cs="Times New Roman" w:eastAsia="Times New Roman" w:hAnsi="Times New Roman"/>
          <w:sz w:val="22"/>
          <w:szCs w:val="22"/>
          <w:color w:val="auto"/>
        </w:rPr>
        <w:t>, at an exercise price equal to $8.75 per Warrant (subject to amendment from time to time in accordance with Section 4.06, the “</w:t>
      </w:r>
      <w:r>
        <w:rPr>
          <w:rFonts w:ascii="Times New Roman" w:cs="Times New Roman" w:eastAsia="Times New Roman" w:hAnsi="Times New Roman"/>
          <w:sz w:val="22"/>
          <w:szCs w:val="22"/>
          <w:u w:val="single" w:color="auto"/>
          <w:color w:val="auto"/>
        </w:rPr>
        <w:t>Warrant Exercise Price</w:t>
      </w:r>
      <w:r>
        <w:rPr>
          <w:rFonts w:ascii="Times New Roman" w:cs="Times New Roman" w:eastAsia="Times New Roman" w:hAnsi="Times New Roman"/>
          <w:sz w:val="22"/>
          <w:szCs w:val="22"/>
          <w:color w:val="auto"/>
        </w:rPr>
        <w:t>”), payable in cash. Holders may exercise all or a portion of their Warrants or choose not to exercise any Warrants at all, or may otherwise sell or transfer their Warrants, in each case, in their sole and absolute discretion.</w:t>
      </w:r>
    </w:p>
    <w:p>
      <w:pPr>
        <w:spacing w:after="0" w:line="152" w:lineRule="exact"/>
        <w:rPr>
          <w:rFonts w:ascii="Times New Roman" w:cs="Times New Roman" w:eastAsia="Times New Roman" w:hAnsi="Times New Roman"/>
          <w:sz w:val="18"/>
          <w:szCs w:val="18"/>
          <w:color w:val="auto"/>
        </w:rPr>
      </w:pPr>
    </w:p>
    <w:p>
      <w:pPr>
        <w:jc w:val="both"/>
        <w:ind w:firstLine="1304"/>
        <w:spacing w:after="0" w:line="209" w:lineRule="auto"/>
        <w:tabs>
          <w:tab w:leader="none" w:pos="193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The number of shares of Common Stock issuable in respect of any exercise of Warrants represented by a Global Warrant shall be determined by the Depositary (or, as may be agreed from time to time between the Calculation Agent and the Company, the Calculation Agent) in accordance with this Agreement;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however, that in the event the Company disagrees in good faith with any such calculation, the Company may make such calculation in good faith or appoint an Independent Advisor to make such calculation, and the Company’s (or, as the case may be, such Independent Advisor’s) calculation shall be determinative and final and binding on the Depositary, the Warrant Agent, the Calculation Agent, the Holders and (where such calculation is made by an Independent Advisor) the Company. The number of shares of Common Stock issuable in respect of any exercise of Warrants represented through the Company’s direct registration system or the Warrant Agent’s other book-entry procedures shall be determined by the Warrant Agent (or, as may be agreed from time to time between the Calculation Agent and the Company, the Calculation Agent) in accordance with this Agreement;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however, that in the event the Company disagrees in good faith with any such calculation, the Company may make such calculation in good faith or appoint an Independent Advisor to make such calculation, and the Company’s (or, as the case may be, such Independent Advisor’s) calculation shall be determinative and final and binding on the Warrant Agent, the Calculation Agent, the Holders and (where such calculation is made by an Independent Advisor) the Company.</w:t>
      </w:r>
    </w:p>
    <w:p>
      <w:pPr>
        <w:spacing w:after="0" w:line="156" w:lineRule="exact"/>
        <w:rPr>
          <w:sz w:val="20"/>
          <w:szCs w:val="20"/>
          <w:color w:val="auto"/>
        </w:rPr>
      </w:pPr>
    </w:p>
    <w:p>
      <w:pPr>
        <w:ind w:left="74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3.02</w:t>
      </w:r>
      <w:r>
        <w:rPr>
          <w:sz w:val="20"/>
          <w:szCs w:val="20"/>
          <w:color w:val="auto"/>
        </w:rPr>
        <w:tab/>
      </w:r>
      <w:r>
        <w:rPr>
          <w:rFonts w:ascii="Times New Roman" w:cs="Times New Roman" w:eastAsia="Times New Roman" w:hAnsi="Times New Roman"/>
          <w:sz w:val="21"/>
          <w:szCs w:val="21"/>
          <w:u w:val="single" w:color="auto"/>
          <w:color w:val="auto"/>
        </w:rPr>
        <w:t>Exercise Period</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1" w:lineRule="auto"/>
        <w:tabs>
          <w:tab w:leader="none" w:pos="194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Subject to the terms and conditions set forth herein (including without limitation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w:t>
      </w:r>
      <w:r>
        <w:rPr>
          <w:rFonts w:ascii="Times New Roman" w:cs="Times New Roman" w:eastAsia="Times New Roman" w:hAnsi="Times New Roman"/>
          <w:sz w:val="22"/>
          <w:szCs w:val="22"/>
          <w:color w:val="auto"/>
        </w:rPr>
        <w:t xml:space="preserve">), the Warrants shall be exercisable at any time and from time to time on or after the Issue Date until the Close of Business on the Expiration Date. Notwithstanding the foregoing, the Holders will be able to exercise the Warrants only if (i) the Common Stock Shelf Registration Statement relating to the Warrant Shares is effective and the Exercise Date does not fall in an Exercise Suspension Period and (ii) the Warrant Shares are qualified for sale or exempt from qualification under the applicable securities laws of the states or other jurisdictions in which such Holders reside except as otherwise provided in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The Company may instruct the Warrant Agent in writing from time to time that Warrants held by a member of the Board of Directors, an Officer of the Company or an Affiliate of the Company are subject to further restrictions on exercise related to compliance with applicable securities laws, in which case the Warrant Agent shall not permit the exercise of such Warrants without the written consent of the Company.</w:t>
      </w:r>
    </w:p>
    <w:p>
      <w:pPr>
        <w:spacing w:after="0" w:line="151" w:lineRule="exact"/>
        <w:rPr>
          <w:rFonts w:ascii="Times New Roman" w:cs="Times New Roman" w:eastAsia="Times New Roman" w:hAnsi="Times New Roman"/>
          <w:sz w:val="18"/>
          <w:szCs w:val="18"/>
          <w:color w:val="auto"/>
        </w:rPr>
      </w:pPr>
    </w:p>
    <w:p>
      <w:pPr>
        <w:jc w:val="both"/>
        <w:ind w:firstLine="1304"/>
        <w:spacing w:after="0" w:line="225" w:lineRule="auto"/>
        <w:tabs>
          <w:tab w:leader="none" w:pos="19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Subject to the terms and conditions set forth herein (including without limitation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w:t>
      </w:r>
      <w:r>
        <w:rPr>
          <w:rFonts w:ascii="Times New Roman" w:cs="Times New Roman" w:eastAsia="Times New Roman" w:hAnsi="Times New Roman"/>
          <w:sz w:val="22"/>
          <w:szCs w:val="22"/>
          <w:color w:val="auto"/>
        </w:rPr>
        <w:t>), the Warrants will expire and cease to be exercisable at the Close of Business on the date (the “</w:t>
      </w: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which is (i) October 1, 2026 or (ii)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Early Expiration Price Condition occurs, either (x) the Early Expiration Date, where “</w:t>
      </w:r>
      <w:r>
        <w:rPr>
          <w:rFonts w:ascii="Times New Roman" w:cs="Times New Roman" w:eastAsia="Times New Roman" w:hAnsi="Times New Roman"/>
          <w:sz w:val="21"/>
          <w:szCs w:val="21"/>
          <w:u w:val="single" w:color="auto"/>
          <w:color w:val="auto"/>
        </w:rPr>
        <w:t>Early Expiration Date</w:t>
      </w:r>
      <w:r>
        <w:rPr>
          <w:rFonts w:ascii="Times New Roman" w:cs="Times New Roman" w:eastAsia="Times New Roman" w:hAnsi="Times New Roman"/>
          <w:sz w:val="21"/>
          <w:szCs w:val="21"/>
          <w:color w:val="auto"/>
        </w:rPr>
        <w:t>” means the Business Day immediately following the date of occurrence of the Early Expiration Price Condition or (y) the Alternate Expiration Date.</w:t>
      </w:r>
    </w:p>
    <w:p>
      <w:pPr>
        <w:spacing w:after="0" w:line="135" w:lineRule="exact"/>
        <w:rPr>
          <w:sz w:val="20"/>
          <w:szCs w:val="20"/>
          <w:color w:val="auto"/>
        </w:rPr>
      </w:pPr>
    </w:p>
    <w:p>
      <w:pPr>
        <w:jc w:val="both"/>
        <w:ind w:firstLine="1304"/>
        <w:spacing w:after="0" w:line="220" w:lineRule="auto"/>
        <w:tabs>
          <w:tab w:leader="none" w:pos="19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the Early Expiration Price Condition occurs, the Company will make a public announcement to that effect by issuance of a press release (the “</w:t>
      </w:r>
      <w:r>
        <w:rPr>
          <w:rFonts w:ascii="Times New Roman" w:cs="Times New Roman" w:eastAsia="Times New Roman" w:hAnsi="Times New Roman"/>
          <w:sz w:val="22"/>
          <w:szCs w:val="22"/>
          <w:u w:val="single" w:color="auto"/>
          <w:color w:val="auto"/>
        </w:rPr>
        <w:t>Early Expiration Price Condition Notice</w:t>
      </w:r>
      <w:r>
        <w:rPr>
          <w:rFonts w:ascii="Times New Roman" w:cs="Times New Roman" w:eastAsia="Times New Roman" w:hAnsi="Times New Roman"/>
          <w:sz w:val="22"/>
          <w:szCs w:val="22"/>
          <w:color w:val="auto"/>
        </w:rPr>
        <w:t>”) (and will give notice thereof to the Warrant Agent and the Calculation Agent) as promptly as practicable after market close on the Early Expiration Price Condition Date setting forth the Early Expiration Date or an Alternate Expiration Date.</w:t>
      </w:r>
    </w:p>
    <w:p>
      <w:pPr>
        <w:spacing w:after="0" w:line="152" w:lineRule="exact"/>
        <w:rPr>
          <w:rFonts w:ascii="Times New Roman" w:cs="Times New Roman" w:eastAsia="Times New Roman" w:hAnsi="Times New Roman"/>
          <w:sz w:val="18"/>
          <w:szCs w:val="18"/>
          <w:color w:val="auto"/>
        </w:rPr>
      </w:pPr>
    </w:p>
    <w:p>
      <w:pPr>
        <w:jc w:val="both"/>
        <w:ind w:firstLine="1304"/>
        <w:spacing w:after="0" w:line="211" w:lineRule="auto"/>
        <w:tabs>
          <w:tab w:leader="none" w:pos="193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The Company may, in its sole discretion, elect to set the Early Expiration Date on a date falling after the business day immediately following the Early Expiration Price Condition Date (any such date, as such date may be further adjusted pursuant to </w:t>
      </w:r>
      <w:r>
        <w:rPr>
          <w:rFonts w:ascii="Times New Roman" w:cs="Times New Roman" w:eastAsia="Times New Roman" w:hAnsi="Times New Roman"/>
          <w:sz w:val="22"/>
          <w:szCs w:val="22"/>
          <w:u w:val="single" w:color="auto"/>
          <w:color w:val="auto"/>
        </w:rPr>
        <w:t>Section 3.02(e)</w:t>
      </w:r>
      <w:r>
        <w:rPr>
          <w:rFonts w:ascii="Times New Roman" w:cs="Times New Roman" w:eastAsia="Times New Roman" w:hAnsi="Times New Roman"/>
          <w:sz w:val="22"/>
          <w:szCs w:val="22"/>
          <w:color w:val="auto"/>
        </w:rPr>
        <w:t>, an “</w:t>
      </w:r>
      <w:r>
        <w:rPr>
          <w:rFonts w:ascii="Times New Roman" w:cs="Times New Roman" w:eastAsia="Times New Roman" w:hAnsi="Times New Roman"/>
          <w:sz w:val="22"/>
          <w:szCs w:val="22"/>
          <w:u w:val="single" w:color="auto"/>
          <w:color w:val="auto"/>
        </w:rPr>
        <w:t>Alternate Expiration Date</w:t>
      </w:r>
      <w:r>
        <w:rPr>
          <w:rFonts w:ascii="Times New Roman" w:cs="Times New Roman" w:eastAsia="Times New Roman" w:hAnsi="Times New Roman"/>
          <w:sz w:val="22"/>
          <w:szCs w:val="22"/>
          <w:color w:val="auto"/>
        </w:rPr>
        <w:t xml:space="preserve">”). Any such Alternate Expiration Date shall be specified in the Early Expiration Price Condition Notice, provided that such Alternate Expiration Date may be subsequently adjusted pursuant to </w:t>
      </w:r>
      <w:r>
        <w:rPr>
          <w:rFonts w:ascii="Times New Roman" w:cs="Times New Roman" w:eastAsia="Times New Roman" w:hAnsi="Times New Roman"/>
          <w:sz w:val="22"/>
          <w:szCs w:val="22"/>
          <w:u w:val="single" w:color="auto"/>
          <w:color w:val="auto"/>
        </w:rPr>
        <w:t>Section 3.02(e)</w:t>
      </w:r>
      <w:r>
        <w:rPr>
          <w:rFonts w:ascii="Times New Roman" w:cs="Times New Roman" w:eastAsia="Times New Roman" w:hAnsi="Times New Roman"/>
          <w:sz w:val="22"/>
          <w:szCs w:val="22"/>
          <w:color w:val="auto"/>
        </w:rPr>
        <w:t>. In order to exercise the right to set an Alternate Expiration Date, the Company shall, no later than the fifth Qualifying Trading Day (whether or not consecutive) occurring in any 20 consecutive Trading Day period, make a public announcement by issuance of a press release (and will give notice thereof to the Warrant Agent and the Calculation Agent) that the Company is reserving the right to set an Alternate Expiration Date in the event the Early Expiration Price Condition does occur.</w:t>
      </w:r>
    </w:p>
    <w:p>
      <w:pPr>
        <w:spacing w:after="0" w:line="158" w:lineRule="exact"/>
        <w:rPr>
          <w:rFonts w:ascii="Times New Roman" w:cs="Times New Roman" w:eastAsia="Times New Roman" w:hAnsi="Times New Roman"/>
          <w:sz w:val="18"/>
          <w:szCs w:val="18"/>
          <w:color w:val="auto"/>
        </w:rPr>
      </w:pPr>
    </w:p>
    <w:p>
      <w:pPr>
        <w:jc w:val="both"/>
        <w:ind w:firstLine="1304"/>
        <w:spacing w:after="0" w:line="209" w:lineRule="auto"/>
        <w:tabs>
          <w:tab w:leader="none" w:pos="19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the Company sets an Alternate Expiration Date, the expiration of the Warrants on such Alternate Expiration Date shall be conditioned on the daily VWAP of a share of Common Stock being at least equal to the quotient of the Exercise Price divided by the Warrant Exercise Rate for each of the two Trading Days immediately preceding such Alternate Expiration Date (the “</w:t>
      </w:r>
      <w:r>
        <w:rPr>
          <w:rFonts w:ascii="Times New Roman" w:cs="Times New Roman" w:eastAsia="Times New Roman" w:hAnsi="Times New Roman"/>
          <w:sz w:val="22"/>
          <w:szCs w:val="22"/>
          <w:u w:val="single" w:color="auto"/>
          <w:color w:val="auto"/>
        </w:rPr>
        <w:t>Additional Price Condition</w:t>
      </w:r>
      <w:r>
        <w:rPr>
          <w:rFonts w:ascii="Times New Roman" w:cs="Times New Roman" w:eastAsia="Times New Roman" w:hAnsi="Times New Roman"/>
          <w:sz w:val="22"/>
          <w:szCs w:val="22"/>
          <w:color w:val="auto"/>
        </w:rPr>
        <w:t>” in respect of such Alternate Expiration Date). As promptly as practicable after market close on the Trading Day immediately preceding the Alternate Expiration Date, the Company will make a public announcement by issuance of a press release (and will give notice thereof to the Warrant Agent and the Calculation Agent) as to whether the Additional Price Condition is met. Whether or not the Additional Price Condition is met, the Company may, in its sole discretion, in any such press release, postpone such Alternate Expiration Date to a new Alternate Expiration Date (which, for the avoidance of doubt, shall be conditional to the Additional Price Condition in respect of the Alternate Expiration Date so postponed). The Company may, in its sole discretion, by making a public announcement by issuance of a press release (and giving notice thereof to the Warrant Agent and the Calculation Agent), postpone further (on one or more occasions) such Alternate Expiration Date to a new Alternate Expiration Date (which, for the avoidance of doubt, shall be conditional to the Additional Price Condition in respect of the Alternate Expiration Date so postponed).</w:t>
      </w:r>
    </w:p>
    <w:p>
      <w:pPr>
        <w:spacing w:after="0" w:line="160"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If (i) the Additional Price Condition is not met in respect of any Alternate Expiration Date and (ii) the Company does not postpone such Alternate Expiration Date as set forth in </w:t>
      </w:r>
      <w:r>
        <w:rPr>
          <w:rFonts w:ascii="Times New Roman" w:cs="Times New Roman" w:eastAsia="Times New Roman" w:hAnsi="Times New Roman"/>
          <w:sz w:val="22"/>
          <w:szCs w:val="22"/>
          <w:u w:val="single" w:color="auto"/>
          <w:color w:val="auto"/>
        </w:rPr>
        <w:t>Section 3.02(e)</w:t>
      </w:r>
      <w:r>
        <w:rPr>
          <w:rFonts w:ascii="Times New Roman" w:cs="Times New Roman" w:eastAsia="Times New Roman" w:hAnsi="Times New Roman"/>
          <w:sz w:val="22"/>
          <w:szCs w:val="22"/>
          <w:color w:val="auto"/>
        </w:rPr>
        <w:t xml:space="preserve"> (an “</w:t>
      </w:r>
      <w:r>
        <w:rPr>
          <w:rFonts w:ascii="Times New Roman" w:cs="Times New Roman" w:eastAsia="Times New Roman" w:hAnsi="Times New Roman"/>
          <w:sz w:val="22"/>
          <w:szCs w:val="22"/>
          <w:u w:val="single" w:color="auto"/>
          <w:color w:val="auto"/>
        </w:rPr>
        <w:t>Alternate Expiration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Annulment</w:t>
      </w:r>
      <w:r>
        <w:rPr>
          <w:rFonts w:ascii="Times New Roman" w:cs="Times New Roman" w:eastAsia="Times New Roman" w:hAnsi="Times New Roman"/>
          <w:sz w:val="22"/>
          <w:szCs w:val="22"/>
          <w:color w:val="auto"/>
        </w:rPr>
        <w:t>”) in respect of such Alternate Expiration Date), the Expiration Date will remain October 1, 2026 unless another Early Expiration Price Condition Date subsequently occurs.</w:t>
      </w:r>
    </w:p>
    <w:p>
      <w:pPr>
        <w:spacing w:after="0" w:line="152" w:lineRule="exact"/>
        <w:rPr>
          <w:rFonts w:ascii="Times New Roman" w:cs="Times New Roman" w:eastAsia="Times New Roman" w:hAnsi="Times New Roman"/>
          <w:sz w:val="18"/>
          <w:szCs w:val="18"/>
          <w:color w:val="auto"/>
        </w:rPr>
      </w:pPr>
    </w:p>
    <w:p>
      <w:pPr>
        <w:ind w:right="20" w:firstLine="1304"/>
        <w:spacing w:after="0" w:line="236" w:lineRule="auto"/>
        <w:tabs>
          <w:tab w:leader="none" w:pos="193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Exercise Period</w:t>
      </w:r>
      <w:r>
        <w:rPr>
          <w:rFonts w:ascii="Times New Roman" w:cs="Times New Roman" w:eastAsia="Times New Roman" w:hAnsi="Times New Roman"/>
          <w:sz w:val="22"/>
          <w:szCs w:val="22"/>
          <w:color w:val="auto"/>
        </w:rPr>
        <w:t xml:space="preserve">” is the period during which the Warrants are exercisable in accordance with the terms and conditions set forth herein (including without limitation this </w:t>
      </w:r>
      <w:r>
        <w:rPr>
          <w:rFonts w:ascii="Times New Roman" w:cs="Times New Roman" w:eastAsia="Times New Roman" w:hAnsi="Times New Roman"/>
          <w:sz w:val="22"/>
          <w:szCs w:val="22"/>
          <w:u w:val="single" w:color="auto"/>
          <w:color w:val="auto"/>
        </w:rPr>
        <w:t>Section 3.02 and Section 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4460875</wp:posOffset>
            </wp:positionH>
            <wp:positionV relativeFrom="paragraph">
              <wp:posOffset>-1678305</wp:posOffset>
            </wp:positionV>
            <wp:extent cx="514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0" w:lineRule="exact"/>
        <w:rPr>
          <w:sz w:val="20"/>
          <w:szCs w:val="20"/>
          <w:color w:val="auto"/>
        </w:rPr>
      </w:pPr>
    </w:p>
    <w:p>
      <w:pPr>
        <w:ind w:right="20" w:firstLine="729"/>
        <w:spacing w:after="0" w:line="236" w:lineRule="auto"/>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Expiration</w:t>
      </w:r>
      <w:r>
        <w:rPr>
          <w:rFonts w:ascii="Times New Roman" w:cs="Times New Roman" w:eastAsia="Times New Roman" w:hAnsi="Times New Roman"/>
          <w:sz w:val="22"/>
          <w:szCs w:val="22"/>
          <w:color w:val="auto"/>
        </w:rPr>
        <w:t>. A Warrant shall terminate and become void as of the earliest of (i) the Close of Business on the Expiration Date and (ii) the time such Warrant is exercised.</w:t>
      </w:r>
    </w:p>
    <w:p>
      <w:pPr>
        <w:spacing w:after="0" w:line="150" w:lineRule="exact"/>
        <w:rPr>
          <w:sz w:val="20"/>
          <w:szCs w:val="20"/>
          <w:color w:val="auto"/>
        </w:rPr>
      </w:pPr>
    </w:p>
    <w:p>
      <w:pPr>
        <w:ind w:left="74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3.04</w:t>
      </w:r>
      <w:r>
        <w:rPr>
          <w:sz w:val="20"/>
          <w:szCs w:val="20"/>
          <w:color w:val="auto"/>
        </w:rPr>
        <w:tab/>
      </w:r>
      <w:r>
        <w:rPr>
          <w:rFonts w:ascii="Times New Roman" w:cs="Times New Roman" w:eastAsia="Times New Roman" w:hAnsi="Times New Roman"/>
          <w:sz w:val="21"/>
          <w:szCs w:val="21"/>
          <w:u w:val="single" w:color="auto"/>
          <w:color w:val="auto"/>
        </w:rPr>
        <w:t>Manner of Exercise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1304"/>
        <w:spacing w:after="0" w:line="236" w:lineRule="auto"/>
        <w:tabs>
          <w:tab w:leader="none" w:pos="194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Sections 3.02(b)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3.03</w:t>
      </w:r>
      <w:r>
        <w:rPr>
          <w:rFonts w:ascii="Times New Roman" w:cs="Times New Roman" w:eastAsia="Times New Roman" w:hAnsi="Times New Roman"/>
          <w:sz w:val="22"/>
          <w:szCs w:val="22"/>
          <w:color w:val="auto"/>
        </w:rPr>
        <w:t>, Warrants may be exercised by a Holder in full or in part, on any Business Day (each, an “</w:t>
      </w:r>
      <w:r>
        <w:rPr>
          <w:rFonts w:ascii="Times New Roman" w:cs="Times New Roman" w:eastAsia="Times New Roman" w:hAnsi="Times New Roman"/>
          <w:sz w:val="22"/>
          <w:szCs w:val="22"/>
          <w:u w:val="single" w:color="auto"/>
          <w:color w:val="auto"/>
        </w:rPr>
        <w:t>Exercise Date</w:t>
      </w:r>
      <w:r>
        <w:rPr>
          <w:rFonts w:ascii="Times New Roman" w:cs="Times New Roman" w:eastAsia="Times New Roman" w:hAnsi="Times New Roman"/>
          <w:sz w:val="22"/>
          <w:szCs w:val="22"/>
          <w:color w:val="auto"/>
        </w:rPr>
        <w:t>”) falling in the Exercise Period, by</w:t>
      </w:r>
    </w:p>
    <w:p>
      <w:pPr>
        <w:spacing w:after="0" w:line="150" w:lineRule="exact"/>
        <w:rPr>
          <w:rFonts w:ascii="Times New Roman" w:cs="Times New Roman" w:eastAsia="Times New Roman" w:hAnsi="Times New Roman"/>
          <w:sz w:val="18"/>
          <w:szCs w:val="18"/>
          <w:color w:val="auto"/>
        </w:rPr>
      </w:pPr>
    </w:p>
    <w:p>
      <w:pPr>
        <w:jc w:val="both"/>
        <w:ind w:left="1540" w:firstLine="1303"/>
        <w:spacing w:after="0" w:line="217" w:lineRule="auto"/>
        <w:tabs>
          <w:tab w:leader="none" w:pos="323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(x) delivery to the Warrant Agent at its office of the related Warrant Certificate, in the case of Warrants issued in certificated form, (y) delivery of the Warrant through the procedures of the Warrant Agent in the case of Warrants represented through the Company’s direct registration system or the Warrant Agent’s other book-entry procedures or (z) delivery of the Warrant through the systems of the Depositary, in the case of Global Warrants;</w:t>
      </w:r>
    </w:p>
    <w:p>
      <w:pPr>
        <w:spacing w:after="0" w:line="152" w:lineRule="exact"/>
        <w:rPr>
          <w:rFonts w:ascii="Times New Roman" w:cs="Times New Roman" w:eastAsia="Times New Roman" w:hAnsi="Times New Roman"/>
          <w:sz w:val="18"/>
          <w:szCs w:val="18"/>
          <w:color w:val="auto"/>
        </w:rPr>
      </w:pPr>
    </w:p>
    <w:p>
      <w:pPr>
        <w:ind w:left="1540" w:right="20" w:firstLine="1303"/>
        <w:spacing w:after="0" w:line="236" w:lineRule="auto"/>
        <w:tabs>
          <w:tab w:leader="none" w:pos="323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electronic delivery to the Warrant Agent of an election to purchase Warrant Shares in the applicable form included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 “</w:t>
      </w:r>
      <w:r>
        <w:rPr>
          <w:rFonts w:ascii="Times New Roman" w:cs="Times New Roman" w:eastAsia="Times New Roman" w:hAnsi="Times New Roman"/>
          <w:sz w:val="22"/>
          <w:szCs w:val="22"/>
          <w:u w:val="single" w:color="auto"/>
          <w:color w:val="auto"/>
        </w:rPr>
        <w:t>Exercise Notice</w:t>
      </w:r>
      <w:r>
        <w:rPr>
          <w:rFonts w:ascii="Times New Roman" w:cs="Times New Roman" w:eastAsia="Times New Roman" w:hAnsi="Times New Roman"/>
          <w:sz w:val="22"/>
          <w:szCs w:val="22"/>
          <w:color w:val="auto"/>
        </w:rPr>
        <w:t>”), duly completed and signed by the Holder; and</w:t>
      </w:r>
    </w:p>
    <w:p>
      <w:pPr>
        <w:spacing w:after="0" w:line="150" w:lineRule="exact"/>
        <w:rPr>
          <w:rFonts w:ascii="Times New Roman" w:cs="Times New Roman" w:eastAsia="Times New Roman" w:hAnsi="Times New Roman"/>
          <w:sz w:val="18"/>
          <w:szCs w:val="18"/>
          <w:color w:val="auto"/>
        </w:rPr>
      </w:pPr>
    </w:p>
    <w:p>
      <w:pPr>
        <w:jc w:val="both"/>
        <w:ind w:left="1540" w:firstLine="1303"/>
        <w:spacing w:after="0" w:line="217" w:lineRule="auto"/>
        <w:tabs>
          <w:tab w:leader="none" w:pos="324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payment in United States dollars by check payable to the order of the Company or the Warrant Agent or by wire transfer to the Company or the Warrant Agent of immediately available funds to an account of or for the benefit of the Company (as designated by the Company and available upon request from the Warrant Agent) in an amount equal to the Warrant Exercise Price multiplied by the number of Warrants so exercised;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if any of (i), (ii) or (iii) above has occurred on or after the Close of Business on any day, it shall instead be deemed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to have occurred on the immediately following Business Day (subject to </w:t>
      </w:r>
      <w:r>
        <w:rPr>
          <w:rFonts w:ascii="Times New Roman" w:cs="Times New Roman" w:eastAsia="Times New Roman" w:hAnsi="Times New Roman"/>
          <w:sz w:val="21"/>
          <w:szCs w:val="21"/>
          <w:u w:val="single" w:color="auto"/>
          <w:color w:val="auto"/>
        </w:rPr>
        <w:t>Sections 3.04(c)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3.04(d)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the Exercise Date shall be the first Business Day on which all of (i), (ii) and (iii) above have occurred, as determined by the Company in consultation with the Warrant Agent. Notwithstanding anything to the contrary set forth herein, the Company may, in its sole discretion, from time to time offer Holders or their brokers the right to deliver a notice of guaranteed delivery on the Exercise Date with respect to Warrants in order to satisfy the delivery requirements of clause (i) above as of the Exercise Date.</w:t>
      </w:r>
    </w:p>
    <w:p>
      <w:pPr>
        <w:spacing w:after="0" w:line="140" w:lineRule="exact"/>
        <w:rPr>
          <w:sz w:val="20"/>
          <w:szCs w:val="20"/>
          <w:color w:val="auto"/>
        </w:rPr>
      </w:pPr>
    </w:p>
    <w:p>
      <w:pPr>
        <w:jc w:val="both"/>
        <w:ind w:firstLine="1304"/>
        <w:spacing w:after="0" w:line="225" w:lineRule="auto"/>
        <w:tabs>
          <w:tab w:leader="none" w:pos="193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In the case of a Global Warrant, any Person with a beneficial interest in such Global Warrant shall effect compliance with the requirements in </w:t>
      </w:r>
      <w:r>
        <w:rPr>
          <w:rFonts w:ascii="Times New Roman" w:cs="Times New Roman" w:eastAsia="Times New Roman" w:hAnsi="Times New Roman"/>
          <w:sz w:val="22"/>
          <w:szCs w:val="22"/>
          <w:u w:val="single" w:color="auto"/>
          <w:color w:val="auto"/>
        </w:rPr>
        <w:t>Section 3.04(a)(i)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above through the relevant Agent Member in accordance with the procedures of the Depositary.</w:t>
      </w:r>
    </w:p>
    <w:p>
      <w:pPr>
        <w:spacing w:after="0" w:line="152"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4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3.04(d)</w:t>
      </w:r>
      <w:r>
        <w:rPr>
          <w:rFonts w:ascii="Times New Roman" w:cs="Times New Roman" w:eastAsia="Times New Roman" w:hAnsi="Times New Roman"/>
          <w:sz w:val="22"/>
          <w:szCs w:val="22"/>
          <w:color w:val="auto"/>
        </w:rPr>
        <w:t>, if the purported Exercise Date of any Warrants is or is deemed to be after the Close of Business on the Expiration Date, the exercise thereof will be null and void and any funds delivered to the Warrant Agent or the Company will be returned to the Holder as soon as practicable. In no event will interest accrue on Funds deposited with the Warrant Agent in respect of an exercise or attempted exercise of Warrants.</w:t>
      </w:r>
    </w:p>
    <w:p>
      <w:pPr>
        <w:spacing w:after="0" w:line="152" w:lineRule="exact"/>
        <w:rPr>
          <w:rFonts w:ascii="Times New Roman" w:cs="Times New Roman" w:eastAsia="Times New Roman" w:hAnsi="Times New Roman"/>
          <w:sz w:val="18"/>
          <w:szCs w:val="18"/>
          <w:color w:val="auto"/>
        </w:rPr>
      </w:pPr>
    </w:p>
    <w:p>
      <w:pPr>
        <w:jc w:val="both"/>
        <w:ind w:firstLine="1304"/>
        <w:spacing w:after="0" w:line="225" w:lineRule="auto"/>
        <w:tabs>
          <w:tab w:leader="none" w:pos="193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Notwithstanding anything to the contrary herein, any otherwise valid exercise of a Warrant submitted after any applicable deadline for exercise may, in the sole and absolute discretion of the Company, be accepted and honored. The Company’s decision with respect to any such exercise shall be determinative.</w:t>
      </w:r>
    </w:p>
    <w:p>
      <w:pPr>
        <w:spacing w:after="0" w:line="152"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4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case of a Global Warrant, whenever some but not all of the Warrants represented by such Global Warrant are exercised in accordance with the terms thereof and of this Agreement, such Global Warrant shall be surrendered by the Holder to the Warrant Agent, which shall cause an adjustment to be made to such Global Warrant so that the number of Warrants represented thereby will be equal to the number of Warrants theretofore represented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such Global Warrant less the number of Warrants then exercised. The Warrant Agent shall thereafter promptly return such Global Warrant to the Holder or its nominee or custodian.</w:t>
      </w:r>
    </w:p>
    <w:p>
      <w:pPr>
        <w:spacing w:after="0" w:line="150" w:lineRule="exact"/>
        <w:rPr>
          <w:sz w:val="20"/>
          <w:szCs w:val="20"/>
          <w:color w:val="auto"/>
        </w:rPr>
      </w:pPr>
    </w:p>
    <w:p>
      <w:pPr>
        <w:jc w:val="both"/>
        <w:ind w:firstLine="1304"/>
        <w:spacing w:after="0" w:line="215" w:lineRule="auto"/>
        <w:tabs>
          <w:tab w:leader="none" w:pos="19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case of a Definitive Warrant or book-entry Warrant, whenever some but not all of the Warrants represented by such Definitive Warrant or book-entry Warrant are exercised in accordance with the terms thereof and of this Agreement, the Holder shall be entitled, at the request of the Holder, to receive from the Company within a reasonable time, and in any event not exceeding ten (10) Business Days, a new Definitive Warrant or book-entry statement in substantially identical form for the number of Warrants equal to the number of Warrants theretofore represented by such Definitive Warrant or book-entry statement less the number of Warrants then exercised.</w:t>
      </w:r>
    </w:p>
    <w:p>
      <w:pPr>
        <w:spacing w:after="0" w:line="152" w:lineRule="exact"/>
        <w:rPr>
          <w:rFonts w:ascii="Times New Roman" w:cs="Times New Roman" w:eastAsia="Times New Roman" w:hAnsi="Times New Roman"/>
          <w:sz w:val="18"/>
          <w:szCs w:val="18"/>
          <w:color w:val="auto"/>
        </w:rPr>
      </w:pPr>
    </w:p>
    <w:p>
      <w:pPr>
        <w:ind w:firstLine="1304"/>
        <w:spacing w:after="0" w:line="236" w:lineRule="auto"/>
        <w:tabs>
          <w:tab w:leader="none" w:pos="193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a Warrant Certificate shall have been exercised in full, the Warrant Agent shall promptly cancel such certificate following its receipt from the Holder or the Depositary, as applicable.</w:t>
      </w:r>
    </w:p>
    <w:p>
      <w:pPr>
        <w:spacing w:after="0" w:line="150" w:lineRule="exact"/>
        <w:rPr>
          <w:rFonts w:ascii="Times New Roman" w:cs="Times New Roman" w:eastAsia="Times New Roman" w:hAnsi="Times New Roman"/>
          <w:sz w:val="18"/>
          <w:szCs w:val="18"/>
          <w:color w:val="auto"/>
        </w:rPr>
      </w:pPr>
    </w:p>
    <w:p>
      <w:pPr>
        <w:jc w:val="both"/>
        <w:ind w:firstLine="1304"/>
        <w:spacing w:after="0" w:line="225" w:lineRule="auto"/>
        <w:tabs>
          <w:tab w:leader="none" w:pos="193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If a Common Stock Shelf Registration Statement is not effective at any time or from time to time for any reason, the right to exercise Warrants shall be automatically suspended until such Common Stock Shelf Registration Statement becomes effective as specified in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ind w:left="74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3.05</w:t>
      </w:r>
      <w:r>
        <w:rPr>
          <w:sz w:val="20"/>
          <w:szCs w:val="20"/>
          <w:color w:val="auto"/>
        </w:rPr>
        <w:tab/>
      </w:r>
      <w:r>
        <w:rPr>
          <w:rFonts w:ascii="Times New Roman" w:cs="Times New Roman" w:eastAsia="Times New Roman" w:hAnsi="Times New Roman"/>
          <w:sz w:val="21"/>
          <w:szCs w:val="21"/>
          <w:u w:val="single" w:color="auto"/>
          <w:color w:val="auto"/>
        </w:rPr>
        <w:t>Issuance of Warrant Shares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2" w:lineRule="auto"/>
        <w:tabs>
          <w:tab w:leader="none" w:pos="194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3.02(a)</w:t>
      </w:r>
      <w:r>
        <w:rPr>
          <w:rFonts w:ascii="Times New Roman" w:cs="Times New Roman" w:eastAsia="Times New Roman" w:hAnsi="Times New Roman"/>
          <w:sz w:val="22"/>
          <w:szCs w:val="22"/>
          <w:color w:val="auto"/>
        </w:rPr>
        <w:t>, upon any exercise of Warrants in compliance with this Agreement, the Company shall issue and cause the transfer agent for the Common Stock (the “</w:t>
      </w:r>
      <w:r>
        <w:rPr>
          <w:rFonts w:ascii="Times New Roman" w:cs="Times New Roman" w:eastAsia="Times New Roman" w:hAnsi="Times New Roman"/>
          <w:sz w:val="22"/>
          <w:szCs w:val="22"/>
          <w:u w:val="single" w:color="auto"/>
          <w:color w:val="auto"/>
        </w:rPr>
        <w:t>Stock Transfer Agent</w:t>
      </w:r>
      <w:r>
        <w:rPr>
          <w:rFonts w:ascii="Times New Roman" w:cs="Times New Roman" w:eastAsia="Times New Roman" w:hAnsi="Times New Roman"/>
          <w:sz w:val="22"/>
          <w:szCs w:val="22"/>
          <w:color w:val="auto"/>
        </w:rPr>
        <w:t>,” which may be the Warrant Agent) to cause to be registered in the Company’s register of shareholders via the direct registration system a number of full Warrant Shares so purchased upon the exercise of such Warrants (determined in accordance with Section 3.06) or Units of Reference Property to which it is entitled, registered or otherwise, to the Holder or Holders entitled to receive the same or upon the written order of the Holder(s) in such name or names as the Holder(s) may designate (including any depositary institution so designated by a Holder). In no event shall the Company have the right or obligation or be required to settle the exercise of Warrants through delivery of cash in lieu of Common Stock.</w:t>
      </w:r>
    </w:p>
    <w:p>
      <w:pPr>
        <w:spacing w:after="0" w:line="156" w:lineRule="exact"/>
        <w:rPr>
          <w:rFonts w:ascii="Times New Roman" w:cs="Times New Roman" w:eastAsia="Times New Roman" w:hAnsi="Times New Roman"/>
          <w:sz w:val="18"/>
          <w:szCs w:val="18"/>
          <w:color w:val="auto"/>
        </w:rPr>
      </w:pPr>
    </w:p>
    <w:p>
      <w:pPr>
        <w:ind w:firstLine="1304"/>
        <w:spacing w:after="0" w:line="236" w:lineRule="auto"/>
        <w:tabs>
          <w:tab w:leader="none" w:pos="193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Such Warrant Shares or Units of Reference Property shall be delivered after the applicable Exercise Date on the transfer agent’s standard turnaround time.</w:t>
      </w:r>
    </w:p>
    <w:p>
      <w:pPr>
        <w:spacing w:after="0" w:line="150" w:lineRule="exact"/>
        <w:rPr>
          <w:rFonts w:ascii="Times New Roman" w:cs="Times New Roman" w:eastAsia="Times New Roman" w:hAnsi="Times New Roman"/>
          <w:sz w:val="18"/>
          <w:szCs w:val="18"/>
          <w:color w:val="auto"/>
        </w:rPr>
      </w:pPr>
    </w:p>
    <w:p>
      <w:pPr>
        <w:jc w:val="both"/>
        <w:ind w:firstLine="1304"/>
        <w:spacing w:after="0" w:line="225" w:lineRule="auto"/>
        <w:tabs>
          <w:tab w:leader="none" w:pos="194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Company hereby instructs the Warrant Agent to record the cost basis for newly issued shares (or Units of Reference Property) as the sum of (x) the then applicable Exercise Price plus (y) the Holder’s cost basis in the exercised Warrant, if any, which the Warrant Agent shall request of the Holder, if necessary.</w:t>
      </w:r>
    </w:p>
    <w:p>
      <w:pPr>
        <w:spacing w:after="0" w:line="152"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Depositary’s (or the Calculation Agent’s) determination of the number of shares of Common Stock (or Units of Reference Property) to be issued on any exercise of Warrants and the validity of such exercise, pursuant to this Agreement, shall govern and the Warrant Agent shall have no duty or obligation to investigate or confirm whether such determinations are accurate or correct.</w:t>
      </w:r>
    </w:p>
    <w:p>
      <w:pPr>
        <w:spacing w:after="0" w:line="152" w:lineRule="exact"/>
        <w:rPr>
          <w:rFonts w:ascii="Times New Roman" w:cs="Times New Roman" w:eastAsia="Times New Roman" w:hAnsi="Times New Roman"/>
          <w:sz w:val="18"/>
          <w:szCs w:val="18"/>
          <w:color w:val="auto"/>
        </w:rPr>
      </w:pPr>
    </w:p>
    <w:p>
      <w:pPr>
        <w:jc w:val="both"/>
        <w:ind w:firstLine="1304"/>
        <w:spacing w:after="0" w:line="217" w:lineRule="auto"/>
        <w:tabs>
          <w:tab w:leader="none" w:pos="194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Person in whose name any shares of Common Stock (or Units of Reference Property) shall be issuable upon exercise of a Warrant shall be treated as a stockholder of record of such shares (or holder of such Units of Reference Property) as of the Close of Business on the relevant Exercise Date, assuming the satisfaction of all conditions, including the payment of the Warrant Exercise Price. Upon the exercise of any Warrants, such Person shall no longer be a Holder of such Warrants as of the Close of Business on the relevant Exercise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729"/>
        <w:spacing w:after="0" w:line="211" w:lineRule="auto"/>
        <w:rPr>
          <w:sz w:val="20"/>
          <w:szCs w:val="20"/>
          <w:color w:val="auto"/>
        </w:rPr>
      </w:pPr>
      <w:r>
        <w:rPr>
          <w:rFonts w:ascii="Times New Roman" w:cs="Times New Roman" w:eastAsia="Times New Roman" w:hAnsi="Times New Roman"/>
          <w:sz w:val="22"/>
          <w:szCs w:val="22"/>
          <w:color w:val="auto"/>
        </w:rPr>
        <w:t xml:space="preserve">Section 3.06 </w:t>
      </w:r>
      <w:r>
        <w:rPr>
          <w:rFonts w:ascii="Times New Roman" w:cs="Times New Roman" w:eastAsia="Times New Roman" w:hAnsi="Times New Roman"/>
          <w:sz w:val="22"/>
          <w:szCs w:val="22"/>
          <w:u w:val="single" w:color="auto"/>
          <w:color w:val="auto"/>
        </w:rPr>
        <w:t>Fractional Warrant Shares</w:t>
      </w:r>
      <w:r>
        <w:rPr>
          <w:rFonts w:ascii="Times New Roman" w:cs="Times New Roman" w:eastAsia="Times New Roman" w:hAnsi="Times New Roman"/>
          <w:sz w:val="22"/>
          <w:szCs w:val="22"/>
          <w:color w:val="auto"/>
        </w:rPr>
        <w:t>. The Company shall not be required to issue fractional shares of Common Stock (or Units of Reference Property) on the exercise of Warrants or pay cash in lieu thereof. The number of shares of Common Stock (or Units of Reference Property) that shall be issuable upon an exercise of Warrants by a Holder pursuant to any one Exercise Notice at any time shall be computed on the basis of the aggregate number of shares of Common Stock (or Units of Reference Property) which may be purchased pursuant to the Warrants being exercised by that Holder pursuant to such Exercise Notice. If any fraction of a share of Common Stock (or Units of Reference Property) would be issuable upon the exercise of Warrants pursuant to such Exercise Notice, the total number of shares of Common Stock (or Units of Reference Property) to be issued to the relevant Holder in respect of such Exercise Notice shall be rounded down to the nearest Whole Number and no cash or other adjustment will be made in lieu of the fraction of a share so rounded down.</w:t>
      </w:r>
    </w:p>
    <w:p>
      <w:pPr>
        <w:spacing w:after="0" w:line="158" w:lineRule="exact"/>
        <w:rPr>
          <w:sz w:val="20"/>
          <w:szCs w:val="20"/>
          <w:color w:val="auto"/>
        </w:rPr>
      </w:pPr>
    </w:p>
    <w:p>
      <w:pPr>
        <w:ind w:left="74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3.07</w:t>
      </w:r>
      <w:r>
        <w:rPr>
          <w:sz w:val="20"/>
          <w:szCs w:val="20"/>
          <w:color w:val="auto"/>
        </w:rPr>
        <w:tab/>
      </w:r>
      <w:r>
        <w:rPr>
          <w:rFonts w:ascii="Times New Roman" w:cs="Times New Roman" w:eastAsia="Times New Roman" w:hAnsi="Times New Roman"/>
          <w:sz w:val="21"/>
          <w:szCs w:val="21"/>
          <w:u w:val="single" w:color="auto"/>
          <w:color w:val="auto"/>
        </w:rPr>
        <w:t>Reservation of Warrant Shares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0" w:lineRule="auto"/>
        <w:tabs>
          <w:tab w:leader="none" w:pos="194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Company shall at all times keep reserved out of its authorized Common Stock a number of shares of Common Stock sufficient to provide for the exercise of all outstanding Warrants. The Company will keep a copy of this Agreement on file with the Stock Transfer Agent and will furnish to such Stock Transfer Agent a copy of all notices of adjustments (and certificates related thereto) transmitted to each Holder.</w:t>
      </w:r>
    </w:p>
    <w:p>
      <w:pPr>
        <w:spacing w:after="0" w:line="152" w:lineRule="exact"/>
        <w:rPr>
          <w:rFonts w:ascii="Times New Roman" w:cs="Times New Roman" w:eastAsia="Times New Roman" w:hAnsi="Times New Roman"/>
          <w:sz w:val="18"/>
          <w:szCs w:val="18"/>
          <w:color w:val="auto"/>
        </w:rPr>
      </w:pPr>
    </w:p>
    <w:p>
      <w:pPr>
        <w:ind w:firstLine="1304"/>
        <w:spacing w:after="0" w:line="236" w:lineRule="auto"/>
        <w:tabs>
          <w:tab w:leader="none" w:pos="193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Company covenants that all Warrant Shares that may be issued upon proper exercise of Warrants (including payment of the Warrant Exercise Price) shall, upon issue, be fully paid, nonassessable and free of preemptive rights.</w:t>
      </w:r>
    </w:p>
    <w:p>
      <w:pPr>
        <w:spacing w:after="0" w:line="150" w:lineRule="exact"/>
        <w:rPr>
          <w:rFonts w:ascii="Times New Roman" w:cs="Times New Roman" w:eastAsia="Times New Roman" w:hAnsi="Times New Roman"/>
          <w:sz w:val="18"/>
          <w:szCs w:val="18"/>
          <w:color w:val="auto"/>
        </w:rPr>
      </w:pPr>
    </w:p>
    <w:p>
      <w:pPr>
        <w:jc w:val="both"/>
        <w:ind w:firstLine="1304"/>
        <w:spacing w:after="0" w:line="217" w:lineRule="auto"/>
        <w:tabs>
          <w:tab w:leader="none" w:pos="194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Company shall provide an opinion of counsel on or prior to the date hereof which shall state that all Warrants and Warrant Shares, as applicable, (i) were offered, sold or issued as part of an offering that was registered in compliance with the Securities Act or pursuant to an exemption from the registration requirements of the Securities Act (as the case may be), (ii) were issued in compliance with all applicable state securities or “blue sky” laws, and (iii) are validly issued, fully paid and non-assessable.</w:t>
      </w:r>
    </w:p>
    <w:p>
      <w:pPr>
        <w:spacing w:after="0" w:line="152" w:lineRule="exact"/>
        <w:rPr>
          <w:sz w:val="20"/>
          <w:szCs w:val="20"/>
          <w:color w:val="auto"/>
        </w:rPr>
      </w:pPr>
    </w:p>
    <w:p>
      <w:pPr>
        <w:ind w:left="74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3.08</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179" w:lineRule="exact"/>
        <w:rPr>
          <w:sz w:val="20"/>
          <w:szCs w:val="20"/>
          <w:color w:val="auto"/>
        </w:rPr>
      </w:pPr>
    </w:p>
    <w:p>
      <w:pPr>
        <w:jc w:val="both"/>
        <w:ind w:firstLine="729"/>
        <w:spacing w:after="0" w:line="211" w:lineRule="auto"/>
        <w:rPr>
          <w:sz w:val="20"/>
          <w:szCs w:val="20"/>
          <w:color w:val="auto"/>
        </w:rPr>
      </w:pPr>
      <w:r>
        <w:rPr>
          <w:rFonts w:ascii="Times New Roman" w:cs="Times New Roman" w:eastAsia="Times New Roman" w:hAnsi="Times New Roman"/>
          <w:sz w:val="22"/>
          <w:szCs w:val="22"/>
          <w:color w:val="auto"/>
        </w:rPr>
        <w:t xml:space="preserve">Section 3.09 </w:t>
      </w:r>
      <w:r>
        <w:rPr>
          <w:rFonts w:ascii="Times New Roman" w:cs="Times New Roman" w:eastAsia="Times New Roman" w:hAnsi="Times New Roman"/>
          <w:sz w:val="22"/>
          <w:szCs w:val="22"/>
          <w:u w:val="single" w:color="auto"/>
          <w:color w:val="auto"/>
        </w:rPr>
        <w:t>Adjustments of Prices</w:t>
      </w:r>
      <w:r>
        <w:rPr>
          <w:rFonts w:ascii="Times New Roman" w:cs="Times New Roman" w:eastAsia="Times New Roman" w:hAnsi="Times New Roman"/>
          <w:sz w:val="22"/>
          <w:szCs w:val="22"/>
          <w:color w:val="auto"/>
        </w:rPr>
        <w:t>. Whenever any provision of this Agreement requires the Calculation Agent to calculate the average of the daily Last Reported Sale Prices over a span of multiple days (if the Calculation Agent determines in its sole discretion it is able to make such adjustment in its capacity as Calculation Agent), the Calculation Agent shall make appropriate adjustments, if any, to each to account for any adjustment to the Warrant Exercise Rate that becomes effective, or any event requiring an adjustment to the Warrant Exercise Rate where the Ex-Date or effective date, as the case may be, of the event occurs, at any time during or after the period when the average of the Last Reported Sale Prices is to be calculated. If the Calculation Agent is not able to make such adjustment, the Company may make such adjustment in good faith or appoint an Independent Advisor to make such adjustment, and the Company’s (or, as the case may be, such Independent Advisor’s) calculation shall be determinative and final and binding on the Warrant Agent, the Calculation Agent and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ADJUSTMENT AND NOTICE PROVISIONS</w:t>
      </w:r>
    </w:p>
    <w:p>
      <w:pPr>
        <w:spacing w:after="0" w:line="183" w:lineRule="exact"/>
        <w:rPr>
          <w:sz w:val="20"/>
          <w:szCs w:val="20"/>
          <w:color w:val="auto"/>
        </w:rPr>
      </w:pPr>
    </w:p>
    <w:p>
      <w:pPr>
        <w:ind w:left="74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4.01</w:t>
      </w:r>
      <w:r>
        <w:rPr>
          <w:sz w:val="20"/>
          <w:szCs w:val="20"/>
          <w:color w:val="auto"/>
        </w:rPr>
        <w:tab/>
      </w: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Subject to the provisions of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the Warrant Exercise Rate shall be subject to adjustment, without duplication, as follows, except that the Company shall not make any such adjustments if the Company determines that each Holder has the opportunity to participate, at the same time and upon the same terms as holders of the shares of Common Stock and solely as a result of holding the Warrants in any of the transactions described in this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without having to exercise such Holder’s Warrants, as if such Holder held a number of shares of Common Stock equal to the product (rounded down to the nearest Whole Number) of (i) the Warrant Exercise Rate in effect on the Record Date for such transaction and (ii) the number of Warrants held by it on such Record Date:</w:t>
      </w:r>
    </w:p>
    <w:p>
      <w:pPr>
        <w:spacing w:after="0" w:line="153" w:lineRule="exact"/>
        <w:rPr>
          <w:sz w:val="20"/>
          <w:szCs w:val="20"/>
          <w:color w:val="auto"/>
        </w:rPr>
      </w:pPr>
    </w:p>
    <w:p>
      <w:pPr>
        <w:jc w:val="both"/>
        <w:ind w:firstLine="1304"/>
        <w:spacing w:after="0" w:line="217" w:lineRule="auto"/>
        <w:tabs>
          <w:tab w:leader="none" w:pos="194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Stock Dividends, Splits, Subdivisions, Reclassifications and Combinations</w:t>
      </w:r>
      <w:r>
        <w:rPr>
          <w:rFonts w:ascii="Times New Roman" w:cs="Times New Roman" w:eastAsia="Times New Roman" w:hAnsi="Times New Roman"/>
          <w:sz w:val="22"/>
          <w:szCs w:val="22"/>
          <w:color w:val="auto"/>
        </w:rPr>
        <w:t>. If the Company shall (i) exclusively issue shares of Common Stock to all or substantially all holders of Common Stock as a dividend or distribution on shares of the Common Stock, (ii) subdivide or reclassify the issued and outstanding shares of Common Stock into a greater number of shares, or (iii) combine, consolidate or reclassify the issued and outstanding shares of Common Stock into a smaller number of shares, then the Warrant Exercise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414020</wp:posOffset>
            </wp:positionV>
            <wp:extent cx="1543050" cy="523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4305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11240"/>
          </w:cols>
          <w:pgMar w:left="320" w:top="126" w:right="339" w:bottom="1440" w:gutter="0" w:footer="0" w:header="0"/>
        </w:sectPr>
      </w:pP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WER</w:t>
      </w: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jc w:val="both"/>
        <w:ind w:right="1460" w:hanging="138"/>
        <w:spacing w:after="0"/>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Warrant Exercise Rate in effect at the open of business on the Ex-Date for such dividend or distribution, or at the open of business on the effective date of such subdivision, combination, consolidation or reclassification, as applicable;</w:t>
      </w:r>
    </w:p>
    <w:p>
      <w:pPr>
        <w:spacing w:after="0" w:line="172" w:lineRule="exact"/>
        <w:rPr>
          <w:sz w:val="20"/>
          <w:szCs w:val="20"/>
          <w:color w:val="auto"/>
        </w:rPr>
      </w:pPr>
    </w:p>
    <w:p>
      <w:pPr>
        <w:sectPr>
          <w:pgSz w:w="11900" w:h="16838" w:orient="portrait"/>
          <w:cols w:equalWidth="0" w:num="2">
            <w:col w:w="2040" w:space="720"/>
            <w:col w:w="8480"/>
          </w:cols>
          <w:pgMar w:left="320" w:top="126" w:right="33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20"/>
          <w:szCs w:val="20"/>
          <w:color w:val="auto"/>
        </w:rPr>
        <w:t>WER</w:t>
      </w:r>
      <w:r>
        <w:rPr>
          <w:rFonts w:ascii="Times New Roman" w:cs="Times New Roman" w:eastAsia="Times New Roman" w:hAnsi="Times New Roman"/>
          <w:sz w:val="13"/>
          <w:szCs w:val="13"/>
          <w:color w:val="auto"/>
        </w:rPr>
        <w:t>0</w:t>
      </w:r>
    </w:p>
    <w:p>
      <w:pPr>
        <w:spacing w:after="0" w:line="20" w:lineRule="exact"/>
        <w:rPr>
          <w:sz w:val="20"/>
          <w:szCs w:val="20"/>
          <w:color w:val="auto"/>
        </w:rPr>
      </w:pPr>
      <w:r>
        <w:rPr>
          <w:sz w:val="20"/>
          <w:szCs w:val="20"/>
          <w:color w:val="auto"/>
        </w:rPr>
        <w:br w:type="column"/>
      </w:r>
    </w:p>
    <w:p>
      <w:pPr>
        <w:jc w:val="both"/>
        <w:ind w:right="1440" w:hanging="138"/>
        <w:spacing w:after="0" w:line="217"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Warrant Exercise Rate in effect immediately prior to the open of business on the Ex-Date for such dividend or distribution, or immediately prior to open of business on the effective date of such subdivision, combination, consolidation or reclassification, as applicable;</w:t>
      </w:r>
    </w:p>
    <w:p>
      <w:pPr>
        <w:spacing w:after="0" w:line="200" w:lineRule="exact"/>
        <w:rPr>
          <w:sz w:val="20"/>
          <w:szCs w:val="20"/>
          <w:color w:val="auto"/>
        </w:rPr>
      </w:pPr>
    </w:p>
    <w:p>
      <w:pPr>
        <w:sectPr>
          <w:pgSz w:w="11900" w:h="16838" w:orient="portrait"/>
          <w:cols w:equalWidth="0" w:num="2">
            <w:col w:w="2040" w:space="720"/>
            <w:col w:w="8480"/>
          </w:cols>
          <w:pgMar w:left="320" w:top="1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26"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1"/>
          <w:szCs w:val="21"/>
          <w:u w:val="single" w:color="auto"/>
          <w:color w:val="0000FF"/>
        </w:rPr>
        <w:t>Table of Contents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OS</w:t>
      </w: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right="1460" w:hanging="138"/>
        <w:spacing w:after="0" w:line="225"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number of shares of Common Stock outstanding immediately after, and solely as a result of giving effect to, such dividend, distribution, subdivision, combination, consolidation or reclassification, as applicable;</w:t>
      </w:r>
    </w:p>
    <w:p>
      <w:pPr>
        <w:spacing w:after="0" w:line="3" w:lineRule="exact"/>
        <w:rPr>
          <w:sz w:val="20"/>
          <w:szCs w:val="20"/>
          <w:color w:val="auto"/>
        </w:rPr>
      </w:pPr>
    </w:p>
    <w:p>
      <w:pPr>
        <w:sectPr>
          <w:pgSz w:w="11900" w:h="16838" w:orient="portrait"/>
          <w:cols w:equalWidth="0" w:num="2">
            <w:col w:w="2000" w:space="720"/>
            <w:col w:w="8520"/>
          </w:cols>
          <w:pgMar w:left="320" w:top="126" w:right="33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20"/>
          <w:szCs w:val="20"/>
          <w:color w:val="auto"/>
        </w:rPr>
        <w:t>OS</w:t>
      </w:r>
      <w:r>
        <w:rPr>
          <w:rFonts w:ascii="Times New Roman" w:cs="Times New Roman" w:eastAsia="Times New Roman" w:hAnsi="Times New Roman"/>
          <w:sz w:val="13"/>
          <w:szCs w:val="13"/>
          <w:color w:val="auto"/>
        </w:rPr>
        <w:t>0</w:t>
      </w:r>
    </w:p>
    <w:p>
      <w:pPr>
        <w:spacing w:after="0" w:line="20" w:lineRule="exact"/>
        <w:rPr>
          <w:sz w:val="20"/>
          <w:szCs w:val="20"/>
          <w:color w:val="auto"/>
        </w:rPr>
      </w:pPr>
      <w:r>
        <w:rPr>
          <w:sz w:val="20"/>
          <w:szCs w:val="20"/>
          <w:color w:val="auto"/>
        </w:rPr>
        <w:br w:type="column"/>
      </w:r>
    </w:p>
    <w:p>
      <w:pPr>
        <w:jc w:val="both"/>
        <w:ind w:right="1440" w:hanging="138"/>
        <w:spacing w:after="0" w:line="213"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number of shares of Common Stock outstanding immediately prior to the open of business on the Ex-Date for such dividend or distribution or immediately prior to the open of business on the effective date of such subdivision, combination, consolidation or reclassification, as applicable (before giving effect to any such dividend, distribution, or subdivision, consolidation, combination or reclassification, as applicable).</w:t>
      </w:r>
    </w:p>
    <w:p>
      <w:pPr>
        <w:spacing w:after="0" w:line="200" w:lineRule="exact"/>
        <w:rPr>
          <w:sz w:val="20"/>
          <w:szCs w:val="20"/>
          <w:color w:val="auto"/>
        </w:rPr>
      </w:pPr>
    </w:p>
    <w:p>
      <w:pPr>
        <w:sectPr>
          <w:pgSz w:w="11900" w:h="16838" w:orient="portrait"/>
          <w:cols w:equalWidth="0" w:num="2">
            <w:col w:w="2000" w:space="720"/>
            <w:col w:w="8520"/>
          </w:cols>
          <w:pgMar w:left="320" w:top="126" w:right="339" w:bottom="1440" w:gutter="0" w:footer="0" w:header="0"/>
          <w:type w:val="continuous"/>
        </w:sectPr>
      </w:pPr>
    </w:p>
    <w:p>
      <w:pPr>
        <w:spacing w:after="0" w:line="10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Any adjustment made under this clause (a) shall become effective at the open of business on such Ex-Date for such dividend or distribution, or at the open of business on the effective date for such subdivision, consolidation, combination or reclassification, as applicable. If an adjustment to the Warrant Exercise Rate is made in respect of any dividend or distribution, subdivision, consolidation, combination or reclassification of the type described in this clause (a) but such dividend or distribution, subdivision, consolidation, combination or reclassification is not so paid or made, the Warrant Exercise Rate shall be readjusted, effective as of the date the Board of Directors determines not to pay or make such dividend or distribution, subdivision, consolidation, combination or reclassification, to the Warrant Exercise Rate that would then be in effect at such time had no such adjustment been made.</w:t>
      </w:r>
    </w:p>
    <w:p>
      <w:pPr>
        <w:spacing w:after="0" w:line="155" w:lineRule="exact"/>
        <w:rPr>
          <w:sz w:val="20"/>
          <w:szCs w:val="20"/>
          <w:color w:val="auto"/>
        </w:rPr>
      </w:pPr>
    </w:p>
    <w:p>
      <w:pPr>
        <w:jc w:val="both"/>
        <w:ind w:firstLine="1304"/>
        <w:spacing w:after="0" w:line="215" w:lineRule="auto"/>
        <w:tabs>
          <w:tab w:leader="none" w:pos="19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Rights Issues</w:t>
      </w:r>
      <w:r>
        <w:rPr>
          <w:rFonts w:ascii="Times New Roman" w:cs="Times New Roman" w:eastAsia="Times New Roman" w:hAnsi="Times New Roman"/>
          <w:sz w:val="22"/>
          <w:szCs w:val="22"/>
          <w:color w:val="auto"/>
        </w:rPr>
        <w:t>. If the Company issues to all or substantially all holders of the Common Stock any rights, options or warrants entitling them, for a period of not more than 45 calendar days after the announcement date of such issuance, to subscribe for or purchase shares of the Common Stock at a price per share that is less than the arithmetic average of the Last Reported Sale Prices of the Common Stock on each Trading Day comprised in the period of 10 consecutive Trading Days immediately preceding the date of announcement of such issuance, the Warrant Exercise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122555</wp:posOffset>
            </wp:positionV>
            <wp:extent cx="2065655" cy="488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6565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11240"/>
          </w:cols>
          <w:pgMar w:left="320" w:top="126" w:right="339" w:bottom="1440" w:gutter="0" w:footer="0" w:header="0"/>
          <w:type w:val="continuous"/>
        </w:sectPr>
      </w:pP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WER</w:t>
      </w: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1680" w:hanging="202"/>
        <w:spacing w:after="0" w:line="236"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Warrant Exercise Rate in effect at the open of business on the Ex-Date for such issuance;</w:t>
      </w:r>
    </w:p>
    <w:p>
      <w:pPr>
        <w:spacing w:after="0" w:line="1" w:lineRule="exact"/>
        <w:rPr>
          <w:sz w:val="20"/>
          <w:szCs w:val="20"/>
          <w:color w:val="auto"/>
        </w:rPr>
      </w:pPr>
    </w:p>
    <w:p>
      <w:pPr>
        <w:sectPr>
          <w:pgSz w:w="11900" w:h="16838" w:orient="portrait"/>
          <w:cols w:equalWidth="0" w:num="2">
            <w:col w:w="1920" w:space="720"/>
            <w:col w:w="8600"/>
          </w:cols>
          <w:pgMar w:left="320" w:top="126" w:right="33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20"/>
          <w:szCs w:val="20"/>
          <w:color w:val="auto"/>
        </w:rPr>
        <w:t>WER</w:t>
      </w:r>
      <w:r>
        <w:rPr>
          <w:rFonts w:ascii="Times New Roman" w:cs="Times New Roman" w:eastAsia="Times New Roman" w:hAnsi="Times New Roman"/>
          <w:sz w:val="13"/>
          <w:szCs w:val="13"/>
          <w:color w:val="auto"/>
        </w:rPr>
        <w:t>0</w:t>
      </w:r>
    </w:p>
    <w:p>
      <w:pPr>
        <w:spacing w:after="0" w:line="20" w:lineRule="exact"/>
        <w:rPr>
          <w:sz w:val="20"/>
          <w:szCs w:val="20"/>
          <w:color w:val="auto"/>
        </w:rPr>
      </w:pPr>
      <w:r>
        <w:rPr>
          <w:sz w:val="20"/>
          <w:szCs w:val="20"/>
          <w:color w:val="auto"/>
        </w:rPr>
        <w:br w:type="column"/>
      </w:r>
    </w:p>
    <w:p>
      <w:pPr>
        <w:ind w:right="1680" w:hanging="202"/>
        <w:spacing w:after="0" w:line="230"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Warrant Exercise Rate in effect immediately prior to the open of business on the Ex-Date for such issuance;</w:t>
      </w:r>
    </w:p>
    <w:p>
      <w:pPr>
        <w:spacing w:after="0" w:line="1" w:lineRule="exact"/>
        <w:rPr>
          <w:sz w:val="20"/>
          <w:szCs w:val="20"/>
          <w:color w:val="auto"/>
        </w:rPr>
      </w:pPr>
    </w:p>
    <w:p>
      <w:pPr>
        <w:sectPr>
          <w:pgSz w:w="11900" w:h="16838" w:orient="portrait"/>
          <w:cols w:equalWidth="0" w:num="2">
            <w:col w:w="1920" w:space="720"/>
            <w:col w:w="8600"/>
          </w:cols>
          <w:pgMar w:left="320" w:top="126" w:right="33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20"/>
          <w:szCs w:val="20"/>
          <w:color w:val="auto"/>
        </w:rPr>
        <w:t>OS</w:t>
      </w:r>
      <w:r>
        <w:rPr>
          <w:rFonts w:ascii="Times New Roman" w:cs="Times New Roman" w:eastAsia="Times New Roman" w:hAnsi="Times New Roman"/>
          <w:sz w:val="13"/>
          <w:szCs w:val="13"/>
          <w:color w:val="auto"/>
        </w:rPr>
        <w:t>0</w:t>
      </w:r>
    </w:p>
    <w:p>
      <w:pPr>
        <w:spacing w:after="0" w:line="20" w:lineRule="exact"/>
        <w:rPr>
          <w:sz w:val="20"/>
          <w:szCs w:val="20"/>
          <w:color w:val="auto"/>
        </w:rPr>
      </w:pPr>
      <w:r>
        <w:rPr>
          <w:sz w:val="20"/>
          <w:szCs w:val="20"/>
          <w:color w:val="auto"/>
        </w:rPr>
        <w:br w:type="column"/>
      </w:r>
    </w:p>
    <w:p>
      <w:pPr>
        <w:ind w:right="1680" w:hanging="202"/>
        <w:spacing w:after="0" w:line="230"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number of shares of Common Stock outstanding immediately prior to the open of business on the Ex-Date for such issuance;</w:t>
      </w:r>
    </w:p>
    <w:p>
      <w:pPr>
        <w:spacing w:after="0" w:line="200" w:lineRule="exact"/>
        <w:rPr>
          <w:sz w:val="20"/>
          <w:szCs w:val="20"/>
          <w:color w:val="auto"/>
        </w:rPr>
      </w:pPr>
    </w:p>
    <w:p>
      <w:pPr>
        <w:sectPr>
          <w:pgSz w:w="11900" w:h="16838" w:orient="portrait"/>
          <w:cols w:equalWidth="0" w:num="2">
            <w:col w:w="1920" w:space="720"/>
            <w:col w:w="8600"/>
          </w:cols>
          <w:pgMar w:left="320" w:top="1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26"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X</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02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8"/>
              </w:rPr>
              <w:t>the total number of shares of Common Stock issuable pursuant to</w:t>
            </w:r>
          </w:p>
        </w:tc>
        <w:tc>
          <w:tcPr>
            <w:tcW w:w="0" w:type="dxa"/>
            <w:vAlign w:val="bottom"/>
          </w:tcPr>
          <w:p>
            <w:pPr>
              <w:spacing w:after="0"/>
              <w:rPr>
                <w:sz w:val="1"/>
                <w:szCs w:val="1"/>
                <w:color w:val="auto"/>
              </w:rPr>
            </w:pPr>
          </w:p>
        </w:tc>
      </w:tr>
      <w:tr>
        <w:trPr>
          <w:trHeight w:val="282"/>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Y</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such rights, options or warrants; and</w:t>
            </w:r>
          </w:p>
        </w:tc>
        <w:tc>
          <w:tcPr>
            <w:tcW w:w="0" w:type="dxa"/>
            <w:vAlign w:val="bottom"/>
          </w:tcPr>
          <w:p>
            <w:pPr>
              <w:spacing w:after="0"/>
              <w:rPr>
                <w:sz w:val="1"/>
                <w:szCs w:val="1"/>
                <w:color w:val="auto"/>
              </w:rPr>
            </w:pPr>
          </w:p>
        </w:tc>
      </w:tr>
      <w:tr>
        <w:trPr>
          <w:trHeight w:val="270"/>
        </w:trPr>
        <w:tc>
          <w:tcPr>
            <w:tcW w:w="1240" w:type="dxa"/>
            <w:vAlign w:val="bottom"/>
            <w:vMerge w:val="continue"/>
          </w:tcPr>
          <w:p>
            <w:pPr>
              <w:spacing w:after="0"/>
              <w:rPr>
                <w:sz w:val="23"/>
                <w:szCs w:val="23"/>
                <w:color w:val="auto"/>
              </w:rPr>
            </w:pPr>
          </w:p>
        </w:tc>
        <w:tc>
          <w:tcPr>
            <w:tcW w:w="1240" w:type="dxa"/>
            <w:vAlign w:val="bottom"/>
            <w:vMerge w:val="continue"/>
          </w:tcPr>
          <w:p>
            <w:pPr>
              <w:spacing w:after="0"/>
              <w:rPr>
                <w:sz w:val="23"/>
                <w:szCs w:val="23"/>
                <w:color w:val="auto"/>
              </w:rPr>
            </w:pPr>
          </w:p>
        </w:tc>
        <w:tc>
          <w:tcPr>
            <w:tcW w:w="70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the number of shares of Common Stock equal to the aggregate price payable to</w:t>
            </w:r>
          </w:p>
        </w:tc>
        <w:tc>
          <w:tcPr>
            <w:tcW w:w="0" w:type="dxa"/>
            <w:vAlign w:val="bottom"/>
          </w:tcPr>
          <w:p>
            <w:pPr>
              <w:spacing w:after="0"/>
              <w:rPr>
                <w:sz w:val="1"/>
                <w:szCs w:val="1"/>
                <w:color w:val="auto"/>
              </w:rPr>
            </w:pPr>
          </w:p>
        </w:tc>
      </w:tr>
      <w:tr>
        <w:trPr>
          <w:trHeight w:val="217"/>
        </w:trPr>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0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exercise such rights, options or warrants, divided by the arithmetic average of</w:t>
            </w:r>
          </w:p>
        </w:tc>
        <w:tc>
          <w:tcPr>
            <w:tcW w:w="0" w:type="dxa"/>
            <w:vAlign w:val="bottom"/>
          </w:tcPr>
          <w:p>
            <w:pPr>
              <w:spacing w:after="0"/>
              <w:rPr>
                <w:sz w:val="1"/>
                <w:szCs w:val="1"/>
                <w:color w:val="auto"/>
              </w:rPr>
            </w:pPr>
          </w:p>
        </w:tc>
      </w:tr>
      <w:tr>
        <w:trPr>
          <w:trHeight w:val="270"/>
        </w:trPr>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0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the Last Reported Sale Prices of the Common Stock on each Trading Day</w:t>
            </w:r>
          </w:p>
        </w:tc>
        <w:tc>
          <w:tcPr>
            <w:tcW w:w="0" w:type="dxa"/>
            <w:vAlign w:val="bottom"/>
          </w:tcPr>
          <w:p>
            <w:pPr>
              <w:spacing w:after="0"/>
              <w:rPr>
                <w:sz w:val="1"/>
                <w:szCs w:val="1"/>
                <w:color w:val="auto"/>
              </w:rPr>
            </w:pPr>
          </w:p>
        </w:tc>
      </w:tr>
      <w:tr>
        <w:trPr>
          <w:trHeight w:val="257"/>
        </w:trPr>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0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8"/>
              </w:rPr>
              <w:t>comprised in the period of 10 consecutive Trading Days immediately preceding</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the date of announcement of the issuance of such rights, options or warrants.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Any adjustment to the Warrant Exercise Rate made under this clause (b) shall be made whenever any such rights, options or warrants are issued and shall become effective at the open of business on the Ex-Date for such issuance. To the extent that shares of the Common Stock are not delivered after the expiration of such rights, options or warrants, the Warrant Exercise Rate shall be decreased to the Warrant Exercise Rate that would then be in effect had the increase with respect to the issuance of such rights, options or warrants been made on the basis of delivery of only the number of shares of Common Stock actually delivered. If an adjustment to the Warrant Exercise Rate is made in respect of any such issuance of rights, options or warrants but such rights, options or warrants are not so issued, the Warrant Exercise Rate shall be readjusted, effective as of the date the Board of Directors determines not to issue such rights, options or warrants, to the Warrant Exercise Rate that would then be in effect at such time had no such adjustment been made.</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For purposes of this clause (b), in determining whether any rights, options or warrants entitle the holders of the Common Stock to subscribe for or purchase shares of the Common Stock at less than such arithmetic average of the Last Reported Sale Prices of the Common Stock on each Trading Day comprised in the period of 10 consecutive Trading Days immediately preceding the date of announcement for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Board of Directors.</w:t>
      </w:r>
    </w:p>
    <w:p>
      <w:pPr>
        <w:spacing w:after="0" w:line="167" w:lineRule="exact"/>
        <w:rPr>
          <w:sz w:val="20"/>
          <w:szCs w:val="20"/>
          <w:color w:val="auto"/>
        </w:rPr>
      </w:pPr>
    </w:p>
    <w:p>
      <w:pPr>
        <w:ind w:left="1940" w:hanging="636"/>
        <w:spacing w:after="0"/>
        <w:tabs>
          <w:tab w:leader="none" w:pos="1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Other Distributions and Spin-Offs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18"/>
          <w:szCs w:val="18"/>
          <w:color w:val="auto"/>
        </w:rPr>
      </w:pPr>
    </w:p>
    <w:p>
      <w:pPr>
        <w:jc w:val="both"/>
        <w:ind w:left="1540" w:firstLine="1303"/>
        <w:spacing w:after="0" w:line="220" w:lineRule="auto"/>
        <w:tabs>
          <w:tab w:leader="none" w:pos="3235"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Distributions Other than Spin-Offs.</w:t>
      </w:r>
      <w:r>
        <w:rPr>
          <w:rFonts w:ascii="Times New Roman" w:cs="Times New Roman" w:eastAsia="Times New Roman" w:hAnsi="Times New Roman"/>
          <w:sz w:val="22"/>
          <w:szCs w:val="22"/>
          <w:color w:val="auto"/>
        </w:rPr>
        <w:t xml:space="preserve"> If the Company makes a distribution to all or substantially all holders of its Common Stock, of its Capital Stock, evidences of indebtedness, other assets or property of the Company, or rights, options or warrants to acquire its Capital Stock or other securities, excluding:</w:t>
      </w:r>
    </w:p>
    <w:p>
      <w:pPr>
        <w:spacing w:after="0" w:line="152"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dividends, distributions or issuances described in clause (a) above or clause (b) above;</w:t>
      </w:r>
    </w:p>
    <w:p>
      <w:pPr>
        <w:spacing w:after="0" w:line="179"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dividends or distributions paid exclusively in cash described in clause (d)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660" w:firstLine="1940"/>
        <w:spacing w:after="0" w:line="225" w:lineRule="auto"/>
        <w:tabs>
          <w:tab w:leader="none" w:pos="32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any dividends or distributions in connection with a Business Combination, reclassification, change, consolidation conveyance, transfer, sale, lease or other disposition resulting in the change in the securities or property receivable upon the exercise of a warrant as described in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18"/>
          <w:szCs w:val="18"/>
          <w:color w:val="auto"/>
        </w:rPr>
      </w:pPr>
    </w:p>
    <w:p>
      <w:pPr>
        <w:ind w:left="660" w:right="20" w:firstLine="1940"/>
        <w:spacing w:after="0" w:line="236" w:lineRule="auto"/>
        <w:tabs>
          <w:tab w:leader="none" w:pos="32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rights issued pursuant to a shareholders’ rights plan adopted by the Company, other than as described in clause (e); and</w:t>
      </w:r>
    </w:p>
    <w:p>
      <w:pPr>
        <w:spacing w:after="0" w:line="150"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any Spin-Offs described below in </w:t>
      </w:r>
      <w:r>
        <w:rPr>
          <w:rFonts w:ascii="Times New Roman" w:cs="Times New Roman" w:eastAsia="Times New Roman" w:hAnsi="Times New Roman"/>
          <w:sz w:val="22"/>
          <w:szCs w:val="22"/>
          <w:u w:val="single" w:color="auto"/>
          <w:color w:val="auto"/>
        </w:rPr>
        <w:t>Section 4.01(c)(ii),</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then the Warrant Exercise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147955</wp:posOffset>
            </wp:positionV>
            <wp:extent cx="2168525" cy="548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6852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11240"/>
          </w:cols>
          <w:pgMar w:left="320" w:top="126" w:right="339" w:bottom="1440" w:gutter="0" w:footer="0" w:header="0"/>
        </w:sectPr>
      </w:pP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WER</w:t>
      </w: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2200" w:hanging="339"/>
        <w:spacing w:after="0" w:line="236"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Warrant Exercise Rate in effect at the open of business on the Ex-Date for such distribution;</w:t>
      </w:r>
    </w:p>
    <w:p>
      <w:pPr>
        <w:spacing w:after="0" w:line="200" w:lineRule="exact"/>
        <w:rPr>
          <w:sz w:val="20"/>
          <w:szCs w:val="20"/>
          <w:color w:val="auto"/>
        </w:rPr>
      </w:pPr>
    </w:p>
    <w:p>
      <w:pPr>
        <w:sectPr>
          <w:pgSz w:w="11900" w:h="16838" w:orient="portrait"/>
          <w:cols w:equalWidth="0" w:num="2">
            <w:col w:w="1160" w:space="720"/>
            <w:col w:w="9360"/>
          </w:cols>
          <w:pgMar w:left="320" w:top="126" w:right="339" w:bottom="1440" w:gutter="0" w:footer="0" w:header="0"/>
          <w:type w:val="continuous"/>
        </w:sectPr>
      </w:pP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WER</w:t>
      </w:r>
      <w:r>
        <w:rPr>
          <w:rFonts w:ascii="Times New Roman" w:cs="Times New Roman" w:eastAsia="Times New Roman" w:hAnsi="Times New Roman"/>
          <w:sz w:val="13"/>
          <w:szCs w:val="13"/>
          <w:color w:val="auto"/>
        </w:rPr>
        <w:t>0</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1740" w:hanging="339"/>
        <w:spacing w:after="0" w:line="236"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Warrant Exercise Rate in effect immediately prior to the open of business on the Ex-Date for such distribution;</w:t>
      </w:r>
    </w:p>
    <w:p>
      <w:pPr>
        <w:spacing w:after="0" w:line="200" w:lineRule="exact"/>
        <w:rPr>
          <w:sz w:val="20"/>
          <w:szCs w:val="20"/>
          <w:color w:val="auto"/>
        </w:rPr>
      </w:pPr>
    </w:p>
    <w:p>
      <w:pPr>
        <w:sectPr>
          <w:pgSz w:w="11900" w:h="16838" w:orient="portrait"/>
          <w:cols w:equalWidth="0" w:num="2">
            <w:col w:w="1160" w:space="720"/>
            <w:col w:w="9360"/>
          </w:cols>
          <w:pgMar w:left="320" w:top="126" w:right="339" w:bottom="1440" w:gutter="0" w:footer="0" w:header="0"/>
          <w:type w:val="continuous"/>
        </w:sectPr>
      </w:pP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SP</w:t>
      </w:r>
      <w:r>
        <w:rPr>
          <w:rFonts w:ascii="Times New Roman" w:cs="Times New Roman" w:eastAsia="Times New Roman" w:hAnsi="Times New Roman"/>
          <w:sz w:val="11"/>
          <w:szCs w:val="11"/>
          <w:color w:val="auto"/>
        </w:rPr>
        <w:t>0</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1920" w:hanging="339"/>
        <w:spacing w:after="0" w:line="225"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arithmetic average of the Last Reported Sale Prices of the Common Stock on each Trading Day comprised in the period of 10 consecutive Trading Days immediately preceding the Ex-Date for such distribution; and</w:t>
      </w:r>
    </w:p>
    <w:p>
      <w:pPr>
        <w:spacing w:after="0" w:line="200" w:lineRule="exact"/>
        <w:rPr>
          <w:sz w:val="20"/>
          <w:szCs w:val="20"/>
          <w:color w:val="auto"/>
        </w:rPr>
      </w:pPr>
    </w:p>
    <w:p>
      <w:pPr>
        <w:sectPr>
          <w:pgSz w:w="11900" w:h="16838" w:orient="portrait"/>
          <w:cols w:equalWidth="0" w:num="2">
            <w:col w:w="1160" w:space="720"/>
            <w:col w:w="9360"/>
          </w:cols>
          <w:pgMar w:left="320" w:top="126" w:right="339" w:bottom="1440" w:gutter="0" w:footer="0" w:header="0"/>
          <w:type w:val="continuous"/>
        </w:sectPr>
      </w:pPr>
    </w:p>
    <w:p>
      <w:pPr>
        <w:spacing w:after="0" w:line="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FMV</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right="1560" w:hanging="339"/>
        <w:spacing w:after="0" w:line="220"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Fair Market Value, as of the open of business on the Ex-Date for such distribution, of the shares of Capital Stock, evidences of indebtedness, assets or property of the Company, cash, rights or warrants distributed with respect to each outstanding share of Common Stock.</w:t>
      </w:r>
    </w:p>
    <w:p>
      <w:pPr>
        <w:spacing w:after="0" w:line="200" w:lineRule="exact"/>
        <w:rPr>
          <w:sz w:val="20"/>
          <w:szCs w:val="20"/>
          <w:color w:val="auto"/>
        </w:rPr>
      </w:pPr>
    </w:p>
    <w:p>
      <w:pPr>
        <w:sectPr>
          <w:pgSz w:w="11900" w:h="16838" w:orient="portrait"/>
          <w:cols w:equalWidth="0" w:num="2">
            <w:col w:w="1160" w:space="720"/>
            <w:col w:w="9360"/>
          </w:cols>
          <w:pgMar w:left="320" w:top="126" w:right="339" w:bottom="1440" w:gutter="0" w:footer="0" w:header="0"/>
          <w:type w:val="continuous"/>
        </w:sectPr>
      </w:pPr>
    </w:p>
    <w:p>
      <w:pPr>
        <w:spacing w:after="0" w:line="10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Any adjustment to the Warrant Exercise Rate under this clause (c)(i) shall become effective at the open of business on the Ex-Date for such distribution.</w:t>
      </w:r>
    </w:p>
    <w:p>
      <w:pPr>
        <w:spacing w:after="0" w:line="131" w:lineRule="exact"/>
        <w:rPr>
          <w:sz w:val="20"/>
          <w:szCs w:val="20"/>
          <w:color w:val="auto"/>
        </w:rPr>
      </w:pPr>
    </w:p>
    <w:p>
      <w:pPr>
        <w:jc w:val="both"/>
        <w:ind w:left="1540" w:firstLine="1303"/>
        <w:spacing w:after="0" w:line="217" w:lineRule="auto"/>
        <w:tabs>
          <w:tab w:leader="none" w:pos="323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Spin-Offs</w:t>
      </w:r>
      <w:r>
        <w:rPr>
          <w:rFonts w:ascii="Times New Roman" w:cs="Times New Roman" w:eastAsia="Times New Roman" w:hAnsi="Times New Roman"/>
          <w:sz w:val="22"/>
          <w:szCs w:val="22"/>
          <w:color w:val="auto"/>
        </w:rPr>
        <w:t>. With respect to an adjustment pursuant to this clause (c) where there has been a payment of a dividend or other distribution by the Company to all or substantially all holders of its Common Stock in shares of Capital Stock of any class or series, or similar equity interests, of or relating to a subsidiary or other business unit of the Company that will be, upon distribution, listed or quoted on a U.S. national or regional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26"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1"/>
          <w:szCs w:val="21"/>
          <w:color w:val="auto"/>
        </w:rPr>
        <w:t>exchange (a “</w:t>
      </w:r>
      <w:r>
        <w:rPr>
          <w:rFonts w:ascii="Times New Roman" w:cs="Times New Roman" w:eastAsia="Times New Roman" w:hAnsi="Times New Roman"/>
          <w:sz w:val="21"/>
          <w:szCs w:val="21"/>
          <w:u w:val="single" w:color="auto"/>
          <w:color w:val="auto"/>
        </w:rPr>
        <w:t>Spin-Off</w:t>
      </w:r>
      <w:r>
        <w:rPr>
          <w:rFonts w:ascii="Times New Roman" w:cs="Times New Roman" w:eastAsia="Times New Roman" w:hAnsi="Times New Roman"/>
          <w:sz w:val="21"/>
          <w:szCs w:val="21"/>
          <w:color w:val="auto"/>
        </w:rPr>
        <w:t>”), then the Warrant Exercise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438150</wp:posOffset>
            </wp:positionV>
            <wp:extent cx="2339975" cy="557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39975" cy="55753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w:t>
      </w:r>
    </w:p>
    <w:p>
      <w:pPr>
        <w:spacing w:after="0" w:line="2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WER</w:t>
      </w: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880"/>
        <w:spacing w:after="0"/>
        <w:tabs>
          <w:tab w:leader="none" w:pos="220" w:val="left"/>
        </w:tabs>
        <w:rPr>
          <w:sz w:val="20"/>
          <w:szCs w:val="20"/>
          <w:color w:val="auto"/>
        </w:rPr>
      </w:pPr>
      <w:r>
        <w:rPr>
          <w:rFonts w:ascii="Times New Roman" w:cs="Times New Roman" w:eastAsia="Times New Roman" w:hAnsi="Times New Roman"/>
          <w:sz w:val="22"/>
          <w:szCs w:val="22"/>
          <w:color w:val="auto"/>
        </w:rPr>
        <w:t>=</w:t>
        <w:tab/>
        <w:t>the Warrant Exercise Rate in effect at the open of business on the Ex-Date of the Spin-Off;</w:t>
      </w:r>
    </w:p>
    <w:p>
      <w:pPr>
        <w:spacing w:after="0" w:line="200" w:lineRule="exact"/>
        <w:rPr>
          <w:sz w:val="20"/>
          <w:szCs w:val="20"/>
          <w:color w:val="auto"/>
        </w:rPr>
      </w:pPr>
    </w:p>
    <w:p>
      <w:pPr>
        <w:sectPr>
          <w:pgSz w:w="11900" w:h="16838" w:orient="portrait"/>
          <w:cols w:equalWidth="0" w:num="2">
            <w:col w:w="1460" w:space="720"/>
            <w:col w:w="9060"/>
          </w:cols>
          <w:pgMar w:left="320" w:top="126" w:right="339" w:bottom="1440" w:gutter="0" w:footer="0" w:header="0"/>
          <w:type w:val="continuous"/>
        </w:sectPr>
      </w:pPr>
    </w:p>
    <w:p>
      <w:pPr>
        <w:spacing w:after="0" w:line="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WER</w:t>
      </w:r>
      <w:r>
        <w:rPr>
          <w:rFonts w:ascii="Times New Roman" w:cs="Times New Roman" w:eastAsia="Times New Roman" w:hAnsi="Times New Roman"/>
          <w:sz w:val="14"/>
          <w:szCs w:val="14"/>
          <w:color w:val="auto"/>
        </w:rPr>
        <w:t>0</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1100" w:hanging="359"/>
        <w:spacing w:after="0" w:line="236"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Warrant Exercise Rate in effect immediately prior to the open of business on the Ex-Date of the Spin-Off;</w:t>
      </w:r>
    </w:p>
    <w:p>
      <w:pPr>
        <w:spacing w:after="0" w:line="200" w:lineRule="exact"/>
        <w:rPr>
          <w:sz w:val="20"/>
          <w:szCs w:val="20"/>
          <w:color w:val="auto"/>
        </w:rPr>
      </w:pPr>
    </w:p>
    <w:p>
      <w:pPr>
        <w:sectPr>
          <w:pgSz w:w="11900" w:h="16838" w:orient="portrait"/>
          <w:cols w:equalWidth="0" w:num="2">
            <w:col w:w="1820" w:space="720"/>
            <w:col w:w="8700"/>
          </w:cols>
          <w:pgMar w:left="320" w:top="126" w:right="339" w:bottom="1440" w:gutter="0" w:footer="0" w:header="0"/>
          <w:type w:val="continuous"/>
        </w:sectPr>
      </w:pPr>
    </w:p>
    <w:p>
      <w:pPr>
        <w:spacing w:after="0" w:line="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FMV</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860" w:hanging="359"/>
        <w:spacing w:after="0" w:line="212"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arithmetic average of the Last Reported Sale Prices of the Capital Stock or similar equity interest distributed to holders of the Common Stock applicable to one share of Common Stock on each day which is a Trading Day for both the Common Stock and the Capital Stock or similar equity interest so distributed (each, a “Valuation Trading Day”) comprised in the period of 10 consecutive Valuation Trading Days commencing on the Ex-Date for such Spin-Off (or, if such Ex-Date is not a Valuation Trading Day, commencing on the immediately following Valuation Trading Day) (such period, the “Valuation Period”); and</w:t>
      </w:r>
    </w:p>
    <w:p>
      <w:pPr>
        <w:spacing w:after="0" w:line="200" w:lineRule="exact"/>
        <w:rPr>
          <w:sz w:val="20"/>
          <w:szCs w:val="20"/>
          <w:color w:val="auto"/>
        </w:rPr>
      </w:pPr>
    </w:p>
    <w:p>
      <w:pPr>
        <w:sectPr>
          <w:pgSz w:w="11900" w:h="16838" w:orient="portrait"/>
          <w:cols w:equalWidth="0" w:num="2">
            <w:col w:w="1820" w:space="720"/>
            <w:col w:w="8700"/>
          </w:cols>
          <w:pgMar w:left="320" w:top="126" w:right="339" w:bottom="1440" w:gutter="0" w:footer="0" w:header="0"/>
          <w:type w:val="continuous"/>
        </w:sectPr>
      </w:pPr>
    </w:p>
    <w:p>
      <w:pPr>
        <w:spacing w:after="0" w:line="1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SP</w:t>
      </w:r>
      <w:r>
        <w:rPr>
          <w:rFonts w:ascii="Times New Roman" w:cs="Times New Roman" w:eastAsia="Times New Roman" w:hAnsi="Times New Roman"/>
          <w:sz w:val="11"/>
          <w:szCs w:val="11"/>
          <w:color w:val="auto"/>
        </w:rPr>
        <w:t>0</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right="1280" w:hanging="359"/>
        <w:spacing w:after="0" w:line="236"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arithmetic average of the Last Reported Sale Prices of the Common Stock on each Trading Day comprised in the Valuation Period.</w:t>
      </w:r>
    </w:p>
    <w:p>
      <w:pPr>
        <w:spacing w:after="0" w:line="200" w:lineRule="exact"/>
        <w:rPr>
          <w:sz w:val="20"/>
          <w:szCs w:val="20"/>
          <w:color w:val="auto"/>
        </w:rPr>
      </w:pPr>
    </w:p>
    <w:p>
      <w:pPr>
        <w:sectPr>
          <w:pgSz w:w="11900" w:h="16838" w:orient="portrait"/>
          <w:cols w:equalWidth="0" w:num="2">
            <w:col w:w="1820" w:space="720"/>
            <w:col w:w="8700"/>
          </w:cols>
          <w:pgMar w:left="320" w:top="126" w:right="339" w:bottom="1440" w:gutter="0" w:footer="0" w:header="0"/>
          <w:type w:val="continuous"/>
        </w:sectPr>
      </w:pPr>
    </w:p>
    <w:p>
      <w:pPr>
        <w:spacing w:after="0" w:line="9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Any adjustment to the Warrant Exercise Rate under this clause (c)(ii) shall be made immediately after the Close of Business on the last day of the Valuation Period, but shall become effective at the open of business on the Ex-Date for the Spin-Off, subject to </w:t>
      </w:r>
      <w:r>
        <w:rPr>
          <w:rFonts w:ascii="Times New Roman" w:cs="Times New Roman" w:eastAsia="Times New Roman" w:hAnsi="Times New Roman"/>
          <w:sz w:val="22"/>
          <w:szCs w:val="22"/>
          <w:u w:val="single" w:color="auto"/>
          <w:color w:val="auto"/>
        </w:rPr>
        <w:t>Section 4.02(b)</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If an adjustment to the Warrant Exercise Rate is made in respect of any distribution of the type described in this clause (c) but such distribution is not so made, the Warrant Exercise Rate shall be readjusted, effective as of the date the Board of Directors determines not to make such distribution, to the Warrant Exercise Rate that would then be in effect at such time had no such adjustment been made.</w:t>
      </w:r>
    </w:p>
    <w:p>
      <w:pPr>
        <w:spacing w:after="0" w:line="149" w:lineRule="exact"/>
        <w:rPr>
          <w:sz w:val="20"/>
          <w:szCs w:val="20"/>
          <w:color w:val="auto"/>
        </w:rPr>
      </w:pPr>
    </w:p>
    <w:p>
      <w:pPr>
        <w:ind w:firstLine="1304"/>
        <w:spacing w:after="0" w:line="236" w:lineRule="auto"/>
        <w:tabs>
          <w:tab w:leader="none" w:pos="193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Cash Dividends or Distributions</w:t>
      </w:r>
      <w:r>
        <w:rPr>
          <w:rFonts w:ascii="Times New Roman" w:cs="Times New Roman" w:eastAsia="Times New Roman" w:hAnsi="Times New Roman"/>
          <w:sz w:val="22"/>
          <w:szCs w:val="22"/>
          <w:color w:val="auto"/>
        </w:rPr>
        <w:t>. If any cash dividend or distribution is paid to all or substantially all holders of Common Stock, then the Warrant Exercise Rate shall be increased based on the following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26"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1"/>
          <w:szCs w:val="2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815340</wp:posOffset>
            </wp:positionV>
            <wp:extent cx="1859915" cy="488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5991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11240"/>
          </w:cols>
          <w:pgMar w:left="320" w:top="126" w:right="339" w:bottom="1440" w:gutter="0" w:footer="0" w:header="0"/>
        </w:sectPr>
      </w:pPr>
    </w:p>
    <w:p>
      <w:pPr>
        <w:spacing w:after="0" w:line="2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WER</w:t>
      </w: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1540" w:hanging="359"/>
        <w:spacing w:after="0" w:line="236"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Warrant Exercise Rate in effect at the open of business on the Ex-Date for such dividend or distribution; and</w:t>
      </w:r>
    </w:p>
    <w:p>
      <w:pPr>
        <w:spacing w:after="0" w:line="200" w:lineRule="exact"/>
        <w:rPr>
          <w:sz w:val="20"/>
          <w:szCs w:val="20"/>
          <w:color w:val="auto"/>
        </w:rPr>
      </w:pPr>
    </w:p>
    <w:p>
      <w:pPr>
        <w:sectPr>
          <w:pgSz w:w="11900" w:h="16838" w:orient="portrait"/>
          <w:cols w:equalWidth="0" w:num="2">
            <w:col w:w="1820" w:space="720"/>
            <w:col w:w="8700"/>
          </w:cols>
          <w:pgMar w:left="320" w:top="126" w:right="339" w:bottom="1440" w:gutter="0" w:footer="0" w:header="0"/>
          <w:type w:val="continuous"/>
        </w:sectPr>
      </w:pPr>
    </w:p>
    <w:p>
      <w:pPr>
        <w:spacing w:after="0" w:line="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WER</w:t>
      </w:r>
      <w:r>
        <w:rPr>
          <w:rFonts w:ascii="Times New Roman" w:cs="Times New Roman" w:eastAsia="Times New Roman" w:hAnsi="Times New Roman"/>
          <w:sz w:val="14"/>
          <w:szCs w:val="14"/>
          <w:color w:val="auto"/>
        </w:rPr>
        <w:t>0</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1100" w:hanging="359"/>
        <w:spacing w:after="0" w:line="236"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Warrant Exercise Rate in effect immediately prior to the open of business on the Ex-Date for such dividend or distribution;</w:t>
      </w:r>
    </w:p>
    <w:p>
      <w:pPr>
        <w:spacing w:after="0" w:line="200" w:lineRule="exact"/>
        <w:rPr>
          <w:sz w:val="20"/>
          <w:szCs w:val="20"/>
          <w:color w:val="auto"/>
        </w:rPr>
      </w:pPr>
    </w:p>
    <w:p>
      <w:pPr>
        <w:sectPr>
          <w:pgSz w:w="11900" w:h="16838" w:orient="portrait"/>
          <w:cols w:equalWidth="0" w:num="2">
            <w:col w:w="1820" w:space="720"/>
            <w:col w:w="8700"/>
          </w:cols>
          <w:pgMar w:left="320" w:top="126" w:right="339" w:bottom="1440" w:gutter="0" w:footer="0" w:header="0"/>
          <w:type w:val="continuous"/>
        </w:sectPr>
      </w:pPr>
    </w:p>
    <w:p>
      <w:pPr>
        <w:spacing w:after="0" w:line="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SP</w:t>
      </w:r>
      <w:r>
        <w:rPr>
          <w:rFonts w:ascii="Times New Roman" w:cs="Times New Roman" w:eastAsia="Times New Roman" w:hAnsi="Times New Roman"/>
          <w:sz w:val="11"/>
          <w:szCs w:val="11"/>
          <w:color w:val="auto"/>
        </w:rPr>
        <w:t>0</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1280" w:hanging="359"/>
        <w:spacing w:after="0" w:line="225"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arithmetic average of the Last Reported Sale Prices of the Common Stock on each Trading Day comprised in the period of ten consecutive Trading Days immediately preceding the Ex-Date for such dividend or distribution;</w:t>
      </w:r>
    </w:p>
    <w:p>
      <w:pPr>
        <w:spacing w:after="0" w:line="200" w:lineRule="exact"/>
        <w:rPr>
          <w:sz w:val="20"/>
          <w:szCs w:val="20"/>
          <w:color w:val="auto"/>
        </w:rPr>
      </w:pPr>
    </w:p>
    <w:p>
      <w:pPr>
        <w:sectPr>
          <w:pgSz w:w="11900" w:h="16838" w:orient="portrait"/>
          <w:cols w:equalWidth="0" w:num="2">
            <w:col w:w="1820" w:space="720"/>
            <w:col w:w="8700"/>
          </w:cols>
          <w:pgMar w:left="320" w:top="126" w:right="339" w:bottom="1440" w:gutter="0" w:footer="0" w:header="0"/>
          <w:type w:val="continuous"/>
        </w:sectPr>
      </w:pPr>
    </w:p>
    <w:p>
      <w:pPr>
        <w:spacing w:after="0" w:line="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1"/>
          <w:szCs w:val="21"/>
          <w:color w:val="auto"/>
        </w:rPr>
        <w:t>=</w:t>
        <w:tab/>
        <w:t>the amount in cash per share the Company distributes to holders of the Common Stock;</w:t>
      </w:r>
    </w:p>
    <w:p>
      <w:pPr>
        <w:spacing w:after="0" w:line="200" w:lineRule="exact"/>
        <w:rPr>
          <w:sz w:val="20"/>
          <w:szCs w:val="20"/>
          <w:color w:val="auto"/>
        </w:rPr>
      </w:pPr>
    </w:p>
    <w:p>
      <w:pPr>
        <w:sectPr>
          <w:pgSz w:w="11900" w:h="16838" w:orient="portrait"/>
          <w:cols w:equalWidth="0" w:num="2">
            <w:col w:w="1460" w:space="720"/>
            <w:col w:w="9060"/>
          </w:cols>
          <w:pgMar w:left="320" w:top="126" w:right="339" w:bottom="1440" w:gutter="0" w:footer="0" w:header="0"/>
          <w:type w:val="continuous"/>
        </w:sectPr>
      </w:pPr>
    </w:p>
    <w:p>
      <w:pPr>
        <w:spacing w:after="0" w:line="13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Any adjustment to the Warrant Exercise Rate made under this clause (d) shall become effective at the open of business on the Ex-Date for such dividend or distribution. If an adjustment to the Warrant Exercise Rate is made in respect of any dividend or distribution of the type described in this clause (d) but such dividend or distribution is not so paid, the Warrant Exercise Rate shall be readjusted, effective as of the date the Board of Directors determines not to pay such dividend or distribution, to the Warrant Exercise Rate that would then be in effect at such time had no such adjustment been made.</w:t>
      </w:r>
    </w:p>
    <w:p>
      <w:pPr>
        <w:spacing w:after="0" w:line="154" w:lineRule="exact"/>
        <w:rPr>
          <w:sz w:val="20"/>
          <w:szCs w:val="20"/>
          <w:color w:val="auto"/>
        </w:rPr>
      </w:pPr>
    </w:p>
    <w:p>
      <w:pPr>
        <w:jc w:val="both"/>
        <w:ind w:firstLine="1304"/>
        <w:spacing w:after="0" w:line="211" w:lineRule="auto"/>
        <w:tabs>
          <w:tab w:leader="none" w:pos="194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Shareholder Rights Plan</w:t>
      </w:r>
      <w:r>
        <w:rPr>
          <w:rFonts w:ascii="Times New Roman" w:cs="Times New Roman" w:eastAsia="Times New Roman" w:hAnsi="Times New Roman"/>
          <w:sz w:val="22"/>
          <w:szCs w:val="22"/>
          <w:color w:val="auto"/>
        </w:rPr>
        <w:t xml:space="preserve">. If the Company has a shareholder rights plan in effect upon the Exercise Date of a Warrant, each share of Common Stock, if any, issued upon such exercise shall be entitled to receive the appropriate number of rights, if any, and the certificates representing the Common Stock issued upon such exercise shall bear such legends, if any, in each case as may be provided by the terms of any such shareholder rights plan, as the same may be amended from time to time. However, if, prior to any exercise, the rights have separated from the shares of Common Stock in accordance with the provisions of the applicable shareholder rights plan so that the Holders of Warrants would not be entitled to receive any rights in respect of Common Stock, if any, issuable upon exercise, the Warrant Exercise Rate shall be adjusted at the time of separation as if the Company had made a distribution to all holders of its Common Stock as provided in </w:t>
      </w:r>
      <w:r>
        <w:rPr>
          <w:rFonts w:ascii="Times New Roman" w:cs="Times New Roman" w:eastAsia="Times New Roman" w:hAnsi="Times New Roman"/>
          <w:sz w:val="22"/>
          <w:szCs w:val="22"/>
          <w:u w:val="single" w:color="auto"/>
          <w:color w:val="auto"/>
        </w:rPr>
        <w:t>Section 4.01(b)</w:t>
      </w:r>
      <w:r>
        <w:rPr>
          <w:rFonts w:ascii="Times New Roman" w:cs="Times New Roman" w:eastAsia="Times New Roman" w:hAnsi="Times New Roman"/>
          <w:sz w:val="22"/>
          <w:szCs w:val="22"/>
          <w:color w:val="auto"/>
        </w:rPr>
        <w:t>, subject to readjustment in the event of the expiration, termination or redemption of such rights.</w:t>
      </w:r>
    </w:p>
    <w:p>
      <w:pPr>
        <w:spacing w:after="0" w:line="158" w:lineRule="exact"/>
        <w:rPr>
          <w:sz w:val="20"/>
          <w:szCs w:val="20"/>
          <w:color w:val="auto"/>
        </w:rPr>
      </w:pPr>
    </w:p>
    <w:p>
      <w:pPr>
        <w:ind w:firstLine="729"/>
        <w:spacing w:after="0" w:line="236"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Calculation of Adjustments; Timing of Issuance of Additional Warrant Shares Upon Certain Adjustments;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Adjustment Rules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firstLine="1304"/>
        <w:spacing w:after="0" w:line="236" w:lineRule="auto"/>
        <w:tabs>
          <w:tab w:leader="none" w:pos="194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All adjustments to the Warrant Exercise Rate under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shall be made by the Calculation Agent to the nearest whole multiple of 0.00001 (with 0.000005 being rounded upwards) share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26"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1304"/>
        <w:spacing w:after="0" w:line="213" w:lineRule="auto"/>
        <w:tabs>
          <w:tab w:leader="none" w:pos="193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Notwithstanding anything to the contrary in this Agreement or the Warrants, (i) if the provisions of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shall require that an adjustment be made to the Warrant Exercise Rate in respect of any distribution or other relevant event, and the shares of Common Stock issuable in respect of any exercise are entitled to participate in such distribution or other relevant event, such adjustment shall not be given effect for the purpose of such exercise of Warrants and (ii) if the Exercise Date in respect of any exercise of Warrants falls after the Record Date for any Spin-Off and on or before the last day of the relevant Valuation Period, delivery of the shares of Common Stock issuable (or amount of cash payable, as applicable) pursuant to such exercise shall occur as soon as practicable after the last day of such Valuation Period.</w:t>
      </w:r>
    </w:p>
    <w:p>
      <w:pPr>
        <w:spacing w:after="0" w:line="15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 xml:space="preserve">Any adjustments pursuant to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shall be made successively whenever an event referred to therein</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22"/>
          <w:szCs w:val="22"/>
          <w:color w:val="auto"/>
        </w:rPr>
        <w:t>shall occur.</w:t>
      </w:r>
    </w:p>
    <w:p>
      <w:pPr>
        <w:spacing w:after="0" w:line="155" w:lineRule="exact"/>
        <w:rPr>
          <w:sz w:val="20"/>
          <w:szCs w:val="20"/>
          <w:color w:val="auto"/>
        </w:rPr>
      </w:pPr>
    </w:p>
    <w:p>
      <w:pPr>
        <w:jc w:val="both"/>
        <w:ind w:firstLine="729"/>
        <w:spacing w:after="0" w:line="209" w:lineRule="auto"/>
        <w:rPr>
          <w:sz w:val="20"/>
          <w:szCs w:val="20"/>
          <w:color w:val="auto"/>
        </w:rPr>
      </w:pPr>
      <w:r>
        <w:rPr>
          <w:rFonts w:ascii="Times New Roman" w:cs="Times New Roman" w:eastAsia="Times New Roman" w:hAnsi="Times New Roman"/>
          <w:sz w:val="22"/>
          <w:szCs w:val="22"/>
          <w:color w:val="auto"/>
        </w:rPr>
        <w:t xml:space="preserve">Section 4.03 </w:t>
      </w:r>
      <w:r>
        <w:rPr>
          <w:rFonts w:ascii="Times New Roman" w:cs="Times New Roman" w:eastAsia="Times New Roman" w:hAnsi="Times New Roman"/>
          <w:sz w:val="22"/>
          <w:szCs w:val="22"/>
          <w:u w:val="single" w:color="auto"/>
          <w:color w:val="auto"/>
        </w:rPr>
        <w:t>Business Combinations and Reorganizations</w:t>
      </w:r>
      <w:r>
        <w:rPr>
          <w:rFonts w:ascii="Times New Roman" w:cs="Times New Roman" w:eastAsia="Times New Roman" w:hAnsi="Times New Roman"/>
          <w:sz w:val="22"/>
          <w:szCs w:val="22"/>
          <w:color w:val="auto"/>
        </w:rPr>
        <w:t xml:space="preserve">. In case of any Business Combination or reclassification of Common Stock (other than a reclassification of Common Stock referred to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the Holder’s right to receive Warrant Shares upon exercise of a Warrant shall be converted into the right to exercise a Warrant to acquire, per each Warrant, the number of shares or other securities or property (including cash) that a number of shares of Common Stock equal to the Warrant Exercise Rate (in effect at the time of such Business Combination or reclassification) immediately prior to such Business Combination or reclassification would have been entitled to receive upon consummation of such Business Combination or reclassification (the amount of such shares, other securities or property in respect of a share of Common Stock being herein referred to as a “</w:t>
      </w:r>
      <w:r>
        <w:rPr>
          <w:rFonts w:ascii="Times New Roman" w:cs="Times New Roman" w:eastAsia="Times New Roman" w:hAnsi="Times New Roman"/>
          <w:sz w:val="22"/>
          <w:szCs w:val="22"/>
          <w:u w:val="single" w:color="auto"/>
          <w:color w:val="auto"/>
        </w:rPr>
        <w:t>Unit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Reference Property</w:t>
      </w:r>
      <w:r>
        <w:rPr>
          <w:rFonts w:ascii="Times New Roman" w:cs="Times New Roman" w:eastAsia="Times New Roman" w:hAnsi="Times New Roman"/>
          <w:sz w:val="22"/>
          <w:szCs w:val="22"/>
          <w:color w:val="auto"/>
        </w:rPr>
        <w:t>”); and in any such case, if necessary, the provisions set forth herein with respect to the rights and interests thereafter of the Holder shall be appropriately adjusted so as to be applicable, as nearly as may reasonably be achievable, to the Holder’s right to exercise such Warrant in exchange for a Unit of Reference Property pursuant to this paragraph. If the Business Combination causes the Common Stock to be converted into, or exchanged for, the right to receive more than a single type of consideration (determined based in part upon any form of shareholder election), then the composition of the Unit of Reference Property into which the Warrants will be exercisable shall be deemed to be the weighted average of the types and amounts of consideration actually received by the holders of Common Stock.</w:t>
      </w:r>
    </w:p>
    <w:p>
      <w:pPr>
        <w:spacing w:after="0" w:line="156" w:lineRule="exact"/>
        <w:rPr>
          <w:sz w:val="20"/>
          <w:szCs w:val="20"/>
          <w:color w:val="auto"/>
        </w:rPr>
      </w:pPr>
    </w:p>
    <w:p>
      <w:pPr>
        <w:jc w:val="both"/>
        <w:ind w:firstLine="729"/>
        <w:spacing w:after="0" w:line="219" w:lineRule="auto"/>
        <w:rPr>
          <w:sz w:val="20"/>
          <w:szCs w:val="20"/>
          <w:color w:val="auto"/>
        </w:rPr>
      </w:pPr>
      <w:r>
        <w:rPr>
          <w:rFonts w:ascii="Times New Roman" w:cs="Times New Roman" w:eastAsia="Times New Roman" w:hAnsi="Times New Roman"/>
          <w:sz w:val="21"/>
          <w:szCs w:val="21"/>
          <w:color w:val="auto"/>
        </w:rPr>
        <w:t xml:space="preserve">Section 4.04 </w:t>
      </w:r>
      <w:r>
        <w:rPr>
          <w:rFonts w:ascii="Times New Roman" w:cs="Times New Roman" w:eastAsia="Times New Roman" w:hAnsi="Times New Roman"/>
          <w:sz w:val="21"/>
          <w:szCs w:val="21"/>
          <w:u w:val="single" w:color="auto"/>
          <w:color w:val="auto"/>
        </w:rPr>
        <w:t>Notice of Adjustments</w:t>
      </w:r>
      <w:r>
        <w:rPr>
          <w:rFonts w:ascii="Times New Roman" w:cs="Times New Roman" w:eastAsia="Times New Roman" w:hAnsi="Times New Roman"/>
          <w:sz w:val="21"/>
          <w:szCs w:val="21"/>
          <w:color w:val="auto"/>
        </w:rPr>
        <w:t xml:space="preserve">. Whenever any adjustment is made pursuant to this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the Company shall cause notice of such adjustment to be delivered to the Warrant Agent as soon as practicable following the effective date of such adjustment, such notice to include in reasonable detail (i) the reason for the adjustment, (ii) the computation of any adjustments, and (iii) the new or amended exercise terms, including, as applicable, the adjusted Warrant Exercise Rate (or the number of shares or the Units of Reference Property purchasable upon exercise of each Warrant) and the Early Expiration Trigger Price after giving effect to such adjustment. The calculations, adjustments and determinations included in the Company’s notice shall, absent manifest error, be final and binding on the Company, the Warrant Agent and the Holders. The Warrant Agent shall be entitled to rely on such notice and any adjustment therein contained and the Warrant Agent shall not be deemed to have knowledge of any such adjustment unless and until it shall have received such notice. The Warrant Agent shall have no obligation under any section of this Agreement to determine whether an adjustment is required or to calculate any of the adjustments set forth herein. The Company shall provide notice to holders of the Warrant of any such adjustment by press release or such other method as the Company may reasonably determine adequately informs holders of Warrants of such adjustment. The Warrant Agent shall as soon as practicable after receipt of such notice from the Company (which notice must specifically direct the Warrant Agent to perform delivery) cause a similar notice to be delivered to the Depositary pursuant to the customary procedures of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2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729"/>
        <w:spacing w:after="0" w:line="212" w:lineRule="auto"/>
        <w:rPr>
          <w:sz w:val="20"/>
          <w:szCs w:val="20"/>
          <w:color w:val="auto"/>
        </w:rPr>
      </w:pPr>
      <w:r>
        <w:rPr>
          <w:rFonts w:ascii="Times New Roman" w:cs="Times New Roman" w:eastAsia="Times New Roman" w:hAnsi="Times New Roman"/>
          <w:sz w:val="22"/>
          <w:szCs w:val="22"/>
          <w:color w:val="auto"/>
        </w:rPr>
        <w:t xml:space="preserve">Section 4.05 </w:t>
      </w:r>
      <w:r>
        <w:rPr>
          <w:rFonts w:ascii="Times New Roman" w:cs="Times New Roman" w:eastAsia="Times New Roman" w:hAnsi="Times New Roman"/>
          <w:sz w:val="22"/>
          <w:szCs w:val="22"/>
          <w:u w:val="single" w:color="auto"/>
          <w:color w:val="auto"/>
        </w:rPr>
        <w:t>Adjustment to Warrant Certificate</w:t>
      </w:r>
      <w:r>
        <w:rPr>
          <w:rFonts w:ascii="Times New Roman" w:cs="Times New Roman" w:eastAsia="Times New Roman" w:hAnsi="Times New Roman"/>
          <w:sz w:val="22"/>
          <w:szCs w:val="22"/>
          <w:color w:val="auto"/>
        </w:rPr>
        <w:t xml:space="preserve">. The form of Warrant Certificate need not be changed because of any adjustment made pursuant to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and Warrant Certificates issued after such adjustment may state the same Warrant Exercise Rate as are stated in any Warrant Certificates issued prior to such adjustment. The Company, however, may at any time in its sole discretion make any change in the form of Warrant Certificate that it may deem appropriate to give effect to such adjustments and that does not affect the substance of the Warrant Certificate, and any Warrant Certificate thereafter issued or countersigned, whether in exchange or substitution for an outstanding Warrant Certificate or otherwise, may be in the form as so changed. For the avoidance of doubt, no change to the Warrant Certificate or this Agreement as a result of an adjustment pursuant to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shall require the consent of the Holders of the Warrants or the Warrant Agent.</w:t>
      </w:r>
    </w:p>
    <w:p>
      <w:pPr>
        <w:spacing w:after="0" w:line="156" w:lineRule="exact"/>
        <w:rPr>
          <w:sz w:val="20"/>
          <w:szCs w:val="20"/>
          <w:color w:val="auto"/>
        </w:rPr>
      </w:pPr>
    </w:p>
    <w:p>
      <w:pPr>
        <w:ind w:left="74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4.06</w:t>
      </w:r>
      <w:r>
        <w:rPr>
          <w:sz w:val="20"/>
          <w:szCs w:val="20"/>
          <w:color w:val="auto"/>
        </w:rPr>
        <w:tab/>
      </w:r>
      <w:r>
        <w:rPr>
          <w:rFonts w:ascii="Times New Roman" w:cs="Times New Roman" w:eastAsia="Times New Roman" w:hAnsi="Times New Roman"/>
          <w:sz w:val="21"/>
          <w:szCs w:val="21"/>
          <w:u w:val="single" w:color="auto"/>
          <w:color w:val="auto"/>
        </w:rPr>
        <w:t>Amendments.</w:t>
      </w:r>
    </w:p>
    <w:p>
      <w:pPr>
        <w:spacing w:after="0" w:line="179" w:lineRule="exact"/>
        <w:rPr>
          <w:sz w:val="20"/>
          <w:szCs w:val="20"/>
          <w:color w:val="auto"/>
        </w:rPr>
      </w:pPr>
    </w:p>
    <w:p>
      <w:pPr>
        <w:ind w:right="20" w:firstLine="1304"/>
        <w:spacing w:after="0" w:line="236" w:lineRule="auto"/>
        <w:tabs>
          <w:tab w:leader="none" w:pos="200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Company and the Warrant Agent, without the consent of the Holders, may from time to time and at any time amend this Agreement and/or the Warrant Certificate for one or more of the following purposes:</w:t>
      </w:r>
    </w:p>
    <w:p>
      <w:pPr>
        <w:spacing w:after="0" w:line="150" w:lineRule="exact"/>
        <w:rPr>
          <w:rFonts w:ascii="Times New Roman" w:cs="Times New Roman" w:eastAsia="Times New Roman" w:hAnsi="Times New Roman"/>
          <w:sz w:val="18"/>
          <w:szCs w:val="18"/>
          <w:color w:val="auto"/>
        </w:rPr>
      </w:pPr>
    </w:p>
    <w:p>
      <w:pPr>
        <w:ind w:left="3240" w:hanging="397"/>
        <w:spacing w:after="0"/>
        <w:tabs>
          <w:tab w:leader="none" w:pos="32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cure any ambiguity, omission, defect or inconsistency;</w:t>
      </w:r>
    </w:p>
    <w:p>
      <w:pPr>
        <w:spacing w:after="0" w:line="179" w:lineRule="exact"/>
        <w:rPr>
          <w:rFonts w:ascii="Times New Roman" w:cs="Times New Roman" w:eastAsia="Times New Roman" w:hAnsi="Times New Roman"/>
          <w:sz w:val="18"/>
          <w:szCs w:val="18"/>
          <w:color w:val="auto"/>
        </w:rPr>
      </w:pPr>
    </w:p>
    <w:p>
      <w:pPr>
        <w:ind w:left="3240" w:hanging="397"/>
        <w:spacing w:after="0"/>
        <w:tabs>
          <w:tab w:leader="none" w:pos="32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provide for the assumption by a successor company in any Business Combination;</w:t>
      </w:r>
    </w:p>
    <w:p>
      <w:pPr>
        <w:spacing w:after="0" w:line="179" w:lineRule="exact"/>
        <w:rPr>
          <w:rFonts w:ascii="Times New Roman" w:cs="Times New Roman" w:eastAsia="Times New Roman" w:hAnsi="Times New Roman"/>
          <w:sz w:val="18"/>
          <w:szCs w:val="18"/>
          <w:color w:val="auto"/>
        </w:rPr>
      </w:pPr>
    </w:p>
    <w:p>
      <w:pPr>
        <w:ind w:left="3240" w:hanging="397"/>
        <w:spacing w:after="0"/>
        <w:tabs>
          <w:tab w:leader="none" w:pos="32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extend the Expiration Date;</w:t>
      </w:r>
    </w:p>
    <w:p>
      <w:pPr>
        <w:spacing w:after="0" w:line="179" w:lineRule="exact"/>
        <w:rPr>
          <w:rFonts w:ascii="Times New Roman" w:cs="Times New Roman" w:eastAsia="Times New Roman" w:hAnsi="Times New Roman"/>
          <w:sz w:val="18"/>
          <w:szCs w:val="18"/>
          <w:color w:val="auto"/>
        </w:rPr>
      </w:pPr>
    </w:p>
    <w:p>
      <w:pPr>
        <w:ind w:left="3240" w:hanging="397"/>
        <w:spacing w:after="0"/>
        <w:tabs>
          <w:tab w:leader="none" w:pos="32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increase the Warrant Exercise Rate or decrease the Warrant Exercise Price;</w:t>
      </w:r>
    </w:p>
    <w:p>
      <w:pPr>
        <w:spacing w:after="0" w:line="179" w:lineRule="exact"/>
        <w:rPr>
          <w:rFonts w:ascii="Times New Roman" w:cs="Times New Roman" w:eastAsia="Times New Roman" w:hAnsi="Times New Roman"/>
          <w:sz w:val="18"/>
          <w:szCs w:val="18"/>
          <w:color w:val="auto"/>
        </w:rPr>
      </w:pPr>
    </w:p>
    <w:p>
      <w:pPr>
        <w:ind w:left="3240" w:hanging="397"/>
        <w:spacing w:after="0"/>
        <w:tabs>
          <w:tab w:leader="none" w:pos="32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provide for net share settlement upon exercise of the Warrants;</w:t>
      </w:r>
    </w:p>
    <w:p>
      <w:pPr>
        <w:spacing w:after="0" w:line="166" w:lineRule="exact"/>
        <w:rPr>
          <w:rFonts w:ascii="Times New Roman" w:cs="Times New Roman" w:eastAsia="Times New Roman" w:hAnsi="Times New Roman"/>
          <w:sz w:val="18"/>
          <w:szCs w:val="18"/>
          <w:color w:val="auto"/>
        </w:rPr>
      </w:pPr>
    </w:p>
    <w:p>
      <w:pPr>
        <w:ind w:left="3240" w:hanging="397"/>
        <w:spacing w:after="0"/>
        <w:tabs>
          <w:tab w:leader="none" w:pos="32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make any change that does not adversely affect the rights of any Holder in any material</w:t>
      </w: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respect;</w:t>
      </w:r>
    </w:p>
    <w:p>
      <w:pPr>
        <w:spacing w:after="0" w:line="155" w:lineRule="exact"/>
        <w:rPr>
          <w:rFonts w:ascii="Times New Roman" w:cs="Times New Roman" w:eastAsia="Times New Roman" w:hAnsi="Times New Roman"/>
          <w:sz w:val="18"/>
          <w:szCs w:val="18"/>
          <w:color w:val="auto"/>
        </w:rPr>
      </w:pPr>
    </w:p>
    <w:p>
      <w:pPr>
        <w:ind w:left="3240" w:hanging="397"/>
        <w:spacing w:after="0"/>
        <w:tabs>
          <w:tab w:leader="none" w:pos="32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provide for a successor Warrant Agent or Calculation Agent;</w:t>
      </w:r>
    </w:p>
    <w:p>
      <w:pPr>
        <w:spacing w:after="0" w:line="179" w:lineRule="exact"/>
        <w:rPr>
          <w:rFonts w:ascii="Times New Roman" w:cs="Times New Roman" w:eastAsia="Times New Roman" w:hAnsi="Times New Roman"/>
          <w:sz w:val="18"/>
          <w:szCs w:val="18"/>
          <w:color w:val="auto"/>
        </w:rPr>
      </w:pPr>
    </w:p>
    <w:p>
      <w:pPr>
        <w:ind w:left="1540" w:firstLine="1303"/>
        <w:spacing w:after="0" w:line="236" w:lineRule="auto"/>
        <w:tabs>
          <w:tab w:leader="none" w:pos="323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connection with any Business Combination, to provide that the Warrants are exercisable for Units of Reference Property; or</w:t>
      </w:r>
    </w:p>
    <w:p>
      <w:pPr>
        <w:spacing w:after="0" w:line="150" w:lineRule="exact"/>
        <w:rPr>
          <w:rFonts w:ascii="Times New Roman" w:cs="Times New Roman" w:eastAsia="Times New Roman" w:hAnsi="Times New Roman"/>
          <w:sz w:val="18"/>
          <w:szCs w:val="18"/>
          <w:color w:val="auto"/>
        </w:rPr>
      </w:pPr>
    </w:p>
    <w:p>
      <w:pPr>
        <w:jc w:val="both"/>
        <w:ind w:left="1540" w:firstLine="1303"/>
        <w:spacing w:after="0" w:line="225" w:lineRule="auto"/>
        <w:tabs>
          <w:tab w:leader="none" w:pos="323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conform the provisions of this Agreement or the Warrant Certificate to the “Description of the Warrants” section of the prospectus supplement relating to the issuance and sale of shares of Common Stock upon exercise of the Warrants.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Any amendment authorized by the provisions of this </w:t>
      </w:r>
      <w:r>
        <w:rPr>
          <w:rFonts w:ascii="Times New Roman" w:cs="Times New Roman" w:eastAsia="Times New Roman" w:hAnsi="Times New Roman"/>
          <w:sz w:val="22"/>
          <w:szCs w:val="22"/>
          <w:u w:val="single" w:color="auto"/>
          <w:color w:val="auto"/>
        </w:rPr>
        <w:t>Section 4.06(a)</w:t>
      </w:r>
      <w:r>
        <w:rPr>
          <w:rFonts w:ascii="Times New Roman" w:cs="Times New Roman" w:eastAsia="Times New Roman" w:hAnsi="Times New Roman"/>
          <w:sz w:val="22"/>
          <w:szCs w:val="22"/>
          <w:color w:val="auto"/>
        </w:rPr>
        <w:t xml:space="preserve"> may be executed by the Company and the Warrant Agent without the consent of the Holders of any of the Warrants at the time outstanding, notwithstanding any of the provisions of </w:t>
      </w:r>
      <w:r>
        <w:rPr>
          <w:rFonts w:ascii="Times New Roman" w:cs="Times New Roman" w:eastAsia="Times New Roman" w:hAnsi="Times New Roman"/>
          <w:sz w:val="22"/>
          <w:szCs w:val="22"/>
          <w:u w:val="single" w:color="auto"/>
          <w:color w:val="auto"/>
        </w:rPr>
        <w:t>Section 4.06(b)</w:t>
      </w:r>
      <w:r>
        <w:rPr>
          <w:rFonts w:ascii="Times New Roman" w:cs="Times New Roman" w:eastAsia="Times New Roman" w:hAnsi="Times New Roman"/>
          <w:sz w:val="22"/>
          <w:szCs w:val="22"/>
          <w:color w:val="auto"/>
        </w:rPr>
        <w:t>. The Warrant Agent shall not unreasonably refuse to execute any such amendment proposed by the Company.</w:t>
      </w:r>
    </w:p>
    <w:p>
      <w:pPr>
        <w:spacing w:after="0" w:line="159" w:lineRule="exact"/>
        <w:rPr>
          <w:sz w:val="20"/>
          <w:szCs w:val="20"/>
          <w:color w:val="auto"/>
        </w:rPr>
      </w:pPr>
    </w:p>
    <w:p>
      <w:pPr>
        <w:jc w:val="both"/>
        <w:ind w:firstLine="1304"/>
        <w:spacing w:after="0" w:line="225" w:lineRule="auto"/>
        <w:tabs>
          <w:tab w:leader="none" w:pos="193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With the written consent of the Holders of a majority of the then outstanding Warrants, the Company may from time to time amend this Agreement and/or the Warrant Certificate in a manner that has a material adverse effect on the interests of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Holders. In determining whether the Holders of the required number of Warrants have concurred in any direction, waiver or consent, only Warrants outstanding at the time shall be considered in any such determination, and Warrants known to the Warrant Agent to be owned by the Company shall be disregarded and deemed not to be outstanding for such purpose. The Company or the Warrant Agent may set a Record Date for any such direction, waiver or consent and only the Holders as of such Record Date shall be entitled to make or give such direction, waiver or consent.</w:t>
      </w:r>
    </w:p>
    <w:p>
      <w:pPr>
        <w:spacing w:after="0" w:line="152" w:lineRule="exact"/>
        <w:rPr>
          <w:sz w:val="20"/>
          <w:szCs w:val="20"/>
          <w:color w:val="auto"/>
        </w:rPr>
      </w:pPr>
    </w:p>
    <w:p>
      <w:pPr>
        <w:jc w:val="both"/>
        <w:ind w:firstLine="1304"/>
        <w:spacing w:after="0" w:line="225" w:lineRule="auto"/>
        <w:tabs>
          <w:tab w:leader="none" w:pos="1941"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 xml:space="preserve">No supplement or amendment to this Agreement or any Warrant Certificate pursuant to </w:t>
      </w:r>
      <w:r>
        <w:rPr>
          <w:rFonts w:ascii="Times New Roman" w:cs="Times New Roman" w:eastAsia="Times New Roman" w:hAnsi="Times New Roman"/>
          <w:sz w:val="21"/>
          <w:szCs w:val="21"/>
          <w:u w:val="single" w:color="auto"/>
          <w:color w:val="auto"/>
        </w:rPr>
        <w:t>Section 4.06</w:t>
      </w:r>
      <w:r>
        <w:rPr>
          <w:rFonts w:ascii="Times New Roman" w:cs="Times New Roman" w:eastAsia="Times New Roman" w:hAnsi="Times New Roman"/>
          <w:sz w:val="21"/>
          <w:szCs w:val="21"/>
          <w:color w:val="auto"/>
        </w:rPr>
        <w:t xml:space="preserve"> shall be effective unless duly executed by the Warrant Agent and the Company. As a condition precedent to the Warrant Agent’s execution of any amendment, the Company shall deliver to the Warrant Agent a certificate from a duly authorized Officer of the Company that states that the proposed amendment is in compliance with the terms of </w:t>
      </w:r>
      <w:r>
        <w:rPr>
          <w:rFonts w:ascii="Times New Roman" w:cs="Times New Roman" w:eastAsia="Times New Roman" w:hAnsi="Times New Roman"/>
          <w:sz w:val="21"/>
          <w:szCs w:val="21"/>
          <w:u w:val="single" w:color="auto"/>
          <w:color w:val="auto"/>
        </w:rPr>
        <w:t>Section 4.06</w:t>
      </w:r>
      <w:r>
        <w:rPr>
          <w:rFonts w:ascii="Times New Roman" w:cs="Times New Roman" w:eastAsia="Times New Roman" w:hAnsi="Times New Roman"/>
          <w:sz w:val="21"/>
          <w:szCs w:val="21"/>
          <w:color w:val="auto"/>
        </w:rPr>
        <w:t>. Notwithstanding anything in this Agreement to the contrary, the Warrant Agent may, but shall not be obligated to, enter into any supplement or amendment that adversely affects the Warrant Agent’s own rights, duties, immunities or obligations under this Agreement.</w:t>
      </w:r>
    </w:p>
    <w:p>
      <w:pPr>
        <w:spacing w:after="0" w:line="153" w:lineRule="exact"/>
        <w:rPr>
          <w:rFonts w:ascii="Times New Roman" w:cs="Times New Roman" w:eastAsia="Times New Roman" w:hAnsi="Times New Roman"/>
          <w:sz w:val="17"/>
          <w:szCs w:val="17"/>
          <w:color w:val="auto"/>
        </w:rPr>
      </w:pPr>
    </w:p>
    <w:p>
      <w:pPr>
        <w:jc w:val="both"/>
        <w:ind w:firstLine="1304"/>
        <w:spacing w:after="0" w:line="210" w:lineRule="auto"/>
        <w:tabs>
          <w:tab w:leader="none" w:pos="193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The Company shall provide reasonable notice to the Holders via press release or Form 8-K filing of any material amendment to this Agreement or the Warrant Certificate pursuant to this </w:t>
      </w:r>
      <w:r>
        <w:rPr>
          <w:rFonts w:ascii="Times New Roman" w:cs="Times New Roman" w:eastAsia="Times New Roman" w:hAnsi="Times New Roman"/>
          <w:sz w:val="22"/>
          <w:szCs w:val="22"/>
          <w:u w:val="single" w:color="auto"/>
          <w:color w:val="auto"/>
        </w:rPr>
        <w:t>Section 4.06</w:t>
      </w:r>
      <w:r>
        <w:rPr>
          <w:rFonts w:ascii="Times New Roman" w:cs="Times New Roman" w:eastAsia="Times New Roman" w:hAnsi="Times New Roman"/>
          <w:sz w:val="22"/>
          <w:szCs w:val="22"/>
          <w:color w:val="auto"/>
        </w:rPr>
        <w:t xml:space="preserve">, and in each case materiality shall be determined by the Company using its sole reasonable discretion. The Warrant Agent shall as soon as practicable after receipt of such notice from the Company (which notice must specifically direct the Warrant Agent to perform delivery) cause a similar notice to be delivered to the Depositary pursuant to the customary procedures of the Depositary. Upon the execution of any amendment of this Agreement or the Warrant Certificate pursuant to the provisions of this </w:t>
      </w:r>
      <w:r>
        <w:rPr>
          <w:rFonts w:ascii="Times New Roman" w:cs="Times New Roman" w:eastAsia="Times New Roman" w:hAnsi="Times New Roman"/>
          <w:sz w:val="22"/>
          <w:szCs w:val="22"/>
          <w:u w:val="single" w:color="auto"/>
          <w:color w:val="auto"/>
        </w:rPr>
        <w:t>Section 4.06</w:t>
      </w:r>
      <w:r>
        <w:rPr>
          <w:rFonts w:ascii="Times New Roman" w:cs="Times New Roman" w:eastAsia="Times New Roman" w:hAnsi="Times New Roman"/>
          <w:sz w:val="22"/>
          <w:szCs w:val="22"/>
          <w:color w:val="auto"/>
        </w:rPr>
        <w:t>, this Agreement and/or the Warrant Certificate shall be and be deemed to be modified and amended in accordance therewith and the respective rights, limitation of rights, obligations, duties and immunities under Agreement of the Company, the Warrant Agent and the Holders shall thereafter be determined, exercised and enforced hereunder subject in all respects to such modifications and amendments and all the terms and conditions of any such amendment shall be and be deemed to be part of the terms and conditions of this Agreement and the Warrant Certificate for any and all purposes.</w:t>
      </w:r>
    </w:p>
    <w:p>
      <w:pPr>
        <w:spacing w:after="0" w:line="18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REGISTRATION OF WARRANT SHARES</w:t>
      </w:r>
    </w:p>
    <w:p>
      <w:pPr>
        <w:spacing w:after="0" w:line="183" w:lineRule="exact"/>
        <w:rPr>
          <w:sz w:val="20"/>
          <w:szCs w:val="20"/>
          <w:color w:val="auto"/>
        </w:rPr>
      </w:pPr>
    </w:p>
    <w:p>
      <w:pPr>
        <w:jc w:val="both"/>
        <w:ind w:firstLine="729"/>
        <w:spacing w:after="0" w:line="209"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Effectiveness of Registration Statement</w:t>
      </w:r>
      <w:r>
        <w:rPr>
          <w:rFonts w:ascii="Times New Roman" w:cs="Times New Roman" w:eastAsia="Times New Roman" w:hAnsi="Times New Roman"/>
          <w:sz w:val="22"/>
          <w:szCs w:val="22"/>
          <w:color w:val="auto"/>
        </w:rPr>
        <w:t>. The Company shall use commercially reasonable efforts to cause a shelf registration statement (including, at the Company’s election, an existing registration statement or a replacement thereof), filed pursuant to Rule 415 (or any successor provision) of the Securities Act, covering the issuance of Warrant Shares to the Holders upon exercise of the Warrants by the Holders thereof (the “</w:t>
      </w:r>
      <w:r>
        <w:rPr>
          <w:rFonts w:ascii="Times New Roman" w:cs="Times New Roman" w:eastAsia="Times New Roman" w:hAnsi="Times New Roman"/>
          <w:sz w:val="22"/>
          <w:szCs w:val="22"/>
          <w:u w:val="single" w:color="auto"/>
          <w:color w:val="auto"/>
        </w:rPr>
        <w:t>Common Stock Shelf Registration Statement</w:t>
      </w:r>
      <w:r>
        <w:rPr>
          <w:rFonts w:ascii="Times New Roman" w:cs="Times New Roman" w:eastAsia="Times New Roman" w:hAnsi="Times New Roman"/>
          <w:sz w:val="22"/>
          <w:szCs w:val="22"/>
          <w:color w:val="auto"/>
        </w:rPr>
        <w:t>”) to, subject to certain exceptions, (i) become effective as promptly as reasonably practicable after the date of this Agreement and (ii) remain effective at least until the earlier of (x) such time as all Warrants have been exercised and (y) the Close of Business on the Expiration Date. The Company shall promptly inform the Warrant Agent of any change in the status of the effectiveness or availability of the Common Stock Shelf Registration Statement. For the avoidance of doubt, no Warrants shall be exercisable at any time until a Common Stock Shelf Registration Statement becomes effective. If a Common Stock Shelf Registration Statement is not effective at any time or from time to time for any reason, the right to exercise Warrants shall be automatically suspended until such Common Stock Shelf Registration Statement becomes effective (any such period, an “</w:t>
      </w:r>
      <w:r>
        <w:rPr>
          <w:rFonts w:ascii="Times New Roman" w:cs="Times New Roman" w:eastAsia="Times New Roman" w:hAnsi="Times New Roman"/>
          <w:sz w:val="22"/>
          <w:szCs w:val="22"/>
          <w:u w:val="single" w:color="auto"/>
          <w:color w:val="auto"/>
        </w:rPr>
        <w:t>Exercise Suspension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Period</w:t>
      </w:r>
      <w:r>
        <w:rPr>
          <w:rFonts w:ascii="Times New Roman" w:cs="Times New Roman" w:eastAsia="Times New Roman" w:hAnsi="Times New Roman"/>
          <w:sz w:val="22"/>
          <w:szCs w:val="22"/>
          <w:color w:val="auto"/>
        </w:rPr>
        <w:t>”). As promptly as practicable upon the occurrence of an Exercise Suspension Period, the Company shall provide notice by press release, with a copy to the Warrant Agent and the Calculation Agent,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Exercise Suspension Period. Notwithstanding anything to the contrary in this Agreement, (i) no calculation of the VWAP for purposes of determining the Early Expiration Price Condition shall occur during any Exercise Suspension Period, and (ii) if the Expiration Date would otherwise fall in an Exercise Suspension Period, the Expiration Date shall be delayed by the number of days comprised in such Exercise Suspension Period.</w:t>
      </w:r>
    </w:p>
    <w:p>
      <w:pPr>
        <w:spacing w:after="0" w:line="152" w:lineRule="exact"/>
        <w:rPr>
          <w:sz w:val="20"/>
          <w:szCs w:val="20"/>
          <w:color w:val="auto"/>
        </w:rPr>
      </w:pPr>
    </w:p>
    <w:p>
      <w:pPr>
        <w:jc w:val="both"/>
        <w:ind w:firstLine="729"/>
        <w:spacing w:after="0" w:line="211"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Suspension</w:t>
      </w:r>
      <w:r>
        <w:rPr>
          <w:rFonts w:ascii="Times New Roman" w:cs="Times New Roman" w:eastAsia="Times New Roman" w:hAnsi="Times New Roman"/>
          <w:sz w:val="22"/>
          <w:szCs w:val="22"/>
          <w:color w:val="auto"/>
        </w:rPr>
        <w:t xml:space="preserve">. The Company shall be entitled to suspend the availability of the Common Stock Shelf Registration Statement from time to time if the Board of Directors determines in the exercise of its reasonable judgment that such suspension is necessary or desirable, as determined by the Company in its sole discretion, and provides notice via press release that such determination was made to the Warrant Agent and Holders of the Warrants (provided that upon request by the Company, the Stock Transfer Agent will deliver a copy of such notice to the Depositary pursuant to the customary procedures of the Depositary);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 if the Company exercises such right in a period in which the Expiration Date would otherwise fall, the Expiration Date shall be delayed by the number of days during such period for which the availability of the Common Stock Shelf Registration Statement was suspended and (ii) in no event shall the Company be required to disclose the business purpose for such suspension if the Company determines in good faith that such business purpose should remain confidential.</w:t>
      </w:r>
    </w:p>
    <w:p>
      <w:pPr>
        <w:spacing w:after="0" w:line="152" w:lineRule="exact"/>
        <w:rPr>
          <w:sz w:val="20"/>
          <w:szCs w:val="20"/>
          <w:color w:val="auto"/>
        </w:rPr>
      </w:pPr>
    </w:p>
    <w:p>
      <w:pPr>
        <w:jc w:val="both"/>
        <w:ind w:firstLine="729"/>
        <w:spacing w:after="0" w:line="211"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2.04(c)(ii)</w:t>
      </w:r>
      <w:r>
        <w:rPr>
          <w:rFonts w:ascii="Times New Roman" w:cs="Times New Roman" w:eastAsia="Times New Roman" w:hAnsi="Times New Roman"/>
          <w:sz w:val="22"/>
          <w:szCs w:val="22"/>
          <w:color w:val="auto"/>
        </w:rPr>
        <w:t xml:space="preserve">, all expenses incurred directly by the Company that are incident to the Company’s performance of or compliance with its obligations under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relating to the issuance of the Warrant Shares will be borne by the Company, including without limitation: (i) all SEC, stock exchange or Financial Industry Regulatory Authority registration and filing fees, (ii) all fees and expenses incurred by the Company in connection with the compliance with state securities or blue sky laws, (iii) all expenses of any Persons incurred by or on behalf of the Company with the prior written consent of the Company in preparing or assisting in preparing, printing and distributing the Common Stock Shelf Registration Statement or any other registration statement, prospectus, any amendments or supplements thereto and other documents relating to the performance of and compliance with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(iv) the fees and disbursements of counsel for the Company and (v) the fees and disbursements of the independent public accountants of the Company.</w:t>
      </w:r>
    </w:p>
    <w:p>
      <w:pPr>
        <w:spacing w:after="0" w:line="19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8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u w:val="single" w:color="auto"/>
          <w:color w:val="auto"/>
        </w:rPr>
        <w:t>RESERVED</w:t>
      </w:r>
    </w:p>
    <w:p>
      <w:pPr>
        <w:spacing w:after="0" w:line="21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WARRANT AGENT</w:t>
      </w:r>
    </w:p>
    <w:p>
      <w:pPr>
        <w:spacing w:after="0" w:line="183" w:lineRule="exact"/>
        <w:rPr>
          <w:sz w:val="20"/>
          <w:szCs w:val="20"/>
          <w:color w:val="auto"/>
        </w:rPr>
      </w:pPr>
    </w:p>
    <w:p>
      <w:pPr>
        <w:jc w:val="both"/>
        <w:ind w:firstLine="729"/>
        <w:spacing w:after="0" w:line="255" w:lineRule="auto"/>
        <w:rPr>
          <w:sz w:val="20"/>
          <w:szCs w:val="20"/>
          <w:color w:val="auto"/>
        </w:rPr>
      </w:pPr>
      <w:r>
        <w:rPr>
          <w:rFonts w:ascii="Times New Roman" w:cs="Times New Roman" w:eastAsia="Times New Roman" w:hAnsi="Times New Roman"/>
          <w:sz w:val="21"/>
          <w:szCs w:val="21"/>
          <w:color w:val="auto"/>
        </w:rPr>
        <w:t xml:space="preserve">Section 7.01 </w:t>
      </w:r>
      <w:r>
        <w:rPr>
          <w:rFonts w:ascii="Times New Roman" w:cs="Times New Roman" w:eastAsia="Times New Roman" w:hAnsi="Times New Roman"/>
          <w:sz w:val="21"/>
          <w:szCs w:val="21"/>
          <w:u w:val="single" w:color="auto"/>
          <w:color w:val="auto"/>
        </w:rPr>
        <w:t>Appointment of Warrant Agent</w:t>
      </w:r>
      <w:r>
        <w:rPr>
          <w:rFonts w:ascii="Times New Roman" w:cs="Times New Roman" w:eastAsia="Times New Roman" w:hAnsi="Times New Roman"/>
          <w:sz w:val="21"/>
          <w:szCs w:val="21"/>
          <w:color w:val="auto"/>
        </w:rPr>
        <w:t>. The Company hereby appoints the Warrant Agent to act as agent for the Company in accordance with the express provisions of this Agreement and the Warrant Agent hereby accepts such appointment.</w:t>
      </w:r>
    </w:p>
    <w:p>
      <w:pPr>
        <w:spacing w:after="0" w:line="135" w:lineRule="exact"/>
        <w:rPr>
          <w:sz w:val="20"/>
          <w:szCs w:val="20"/>
          <w:color w:val="auto"/>
        </w:rPr>
      </w:pPr>
    </w:p>
    <w:p>
      <w:pPr>
        <w:ind w:left="74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7.02</w:t>
      </w:r>
      <w:r>
        <w:rPr>
          <w:sz w:val="20"/>
          <w:szCs w:val="20"/>
          <w:color w:val="auto"/>
        </w:rPr>
        <w:tab/>
      </w:r>
      <w:r>
        <w:rPr>
          <w:rFonts w:ascii="Times New Roman" w:cs="Times New Roman" w:eastAsia="Times New Roman" w:hAnsi="Times New Roman"/>
          <w:sz w:val="21"/>
          <w:szCs w:val="21"/>
          <w:u w:val="single" w:color="auto"/>
          <w:color w:val="auto"/>
        </w:rPr>
        <w:t>Rights and Duties of Warrant Agent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7" w:lineRule="auto"/>
        <w:tabs>
          <w:tab w:leader="none" w:pos="194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Agent for the Company</w:t>
      </w:r>
      <w:r>
        <w:rPr>
          <w:rFonts w:ascii="Times New Roman" w:cs="Times New Roman" w:eastAsia="Times New Roman" w:hAnsi="Times New Roman"/>
          <w:sz w:val="22"/>
          <w:szCs w:val="22"/>
          <w:color w:val="auto"/>
        </w:rPr>
        <w:t>. In acting under this Agreement and in connection with the Warrant Certificates, the Warrant Agent is acting solely as agent of the Company and does not assume any obligation or relationship or agency or trust for or with any of the holders of Warrant Certificates or beneficial owners of Warrants. All fees and expenses due the Warrant Agent shall be paid to the Warrant Agent by the Company. The Warrant Agent shall have no duty to determine which costs, if any, under this Agreement shall be borne by the Holders or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2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1304"/>
        <w:spacing w:after="0" w:line="220" w:lineRule="auto"/>
        <w:tabs>
          <w:tab w:leader="none" w:pos="193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Counsel</w:t>
      </w:r>
      <w:r>
        <w:rPr>
          <w:rFonts w:ascii="Times New Roman" w:cs="Times New Roman" w:eastAsia="Times New Roman" w:hAnsi="Times New Roman"/>
          <w:sz w:val="22"/>
          <w:szCs w:val="22"/>
          <w:color w:val="auto"/>
        </w:rPr>
        <w:t>. The Warrant Agent may consult with counsel satisfactory to it (who may be counsel to the Company) and the advice of such counsel shall be full and complete authorization and protection in respect of any action taken, suffered or omitted by it hereunder in the absence of bad faith (which bad faith must be determined by a final non-appealable order, judgment, decree or ruling of a court of competent jurisdiction) and in accordance with the advice of such counsel.</w:t>
      </w:r>
    </w:p>
    <w:p>
      <w:pPr>
        <w:spacing w:after="0" w:line="152" w:lineRule="exact"/>
        <w:rPr>
          <w:rFonts w:ascii="Times New Roman" w:cs="Times New Roman" w:eastAsia="Times New Roman" w:hAnsi="Times New Roman"/>
          <w:sz w:val="18"/>
          <w:szCs w:val="18"/>
          <w:color w:val="auto"/>
        </w:rPr>
      </w:pPr>
    </w:p>
    <w:p>
      <w:pPr>
        <w:jc w:val="both"/>
        <w:ind w:firstLine="1304"/>
        <w:spacing w:after="0" w:line="225" w:lineRule="auto"/>
        <w:tabs>
          <w:tab w:leader="none" w:pos="194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Documents</w:t>
      </w:r>
      <w:r>
        <w:rPr>
          <w:rFonts w:ascii="Times New Roman" w:cs="Times New Roman" w:eastAsia="Times New Roman" w:hAnsi="Times New Roman"/>
          <w:sz w:val="22"/>
          <w:szCs w:val="22"/>
          <w:color w:val="auto"/>
        </w:rPr>
        <w:t>. The Warrant Agent shall be protected and shall incur no liability for or in respect of any action taken by it in reliance upon any Warrant Certificate, notice, direction, consent, certificate, affidavit, statement or other paper or document reasonably believed by it to be genuine and to have been presented or signed by the proper parties.</w:t>
      </w:r>
    </w:p>
    <w:p>
      <w:pPr>
        <w:spacing w:after="0" w:line="152" w:lineRule="exact"/>
        <w:rPr>
          <w:rFonts w:ascii="Times New Roman" w:cs="Times New Roman" w:eastAsia="Times New Roman" w:hAnsi="Times New Roman"/>
          <w:sz w:val="18"/>
          <w:szCs w:val="18"/>
          <w:color w:val="auto"/>
        </w:rPr>
      </w:pPr>
    </w:p>
    <w:p>
      <w:pPr>
        <w:jc w:val="both"/>
        <w:ind w:firstLine="1304"/>
        <w:spacing w:after="0" w:line="211" w:lineRule="auto"/>
        <w:tabs>
          <w:tab w:leader="none" w:pos="193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No Implied Obligations</w:t>
      </w:r>
      <w:r>
        <w:rPr>
          <w:rFonts w:ascii="Times New Roman" w:cs="Times New Roman" w:eastAsia="Times New Roman" w:hAnsi="Times New Roman"/>
          <w:sz w:val="22"/>
          <w:szCs w:val="22"/>
          <w:color w:val="auto"/>
        </w:rPr>
        <w:t>. The Warrant Agent shall be obligated to perform only such duties as are specifically set forth herein and in the Warrant Certificates, and no implied duties or obligations of the Warrant Agent shall be read into this Agreement or the Warrant Certificates against the Warrant Agent. The Warrant Agent shall not be under any obligation to take any action hereunder that may tend to involve it in any expense or liability for which it does not receive indemnity if such indemnity is reasonably requested. The Warrant Agent shall not be accountable or under any duty or responsibility for the application by the Company of the proceeds of the Warrants. The Warrant Agent shall have no duty or responsibility in case of any default by the Company in the performance of its covenants or agreements contained herein or in the Warrant Certificates or in the case of the receipt of any written demand from a Holder with respect to such default, including any duty or responsibility to initiate or attempt to initiate any proceedings at law or otherwise.</w:t>
      </w:r>
    </w:p>
    <w:p>
      <w:pPr>
        <w:spacing w:after="0" w:line="158" w:lineRule="exact"/>
        <w:rPr>
          <w:rFonts w:ascii="Times New Roman" w:cs="Times New Roman" w:eastAsia="Times New Roman" w:hAnsi="Times New Roman"/>
          <w:sz w:val="18"/>
          <w:szCs w:val="18"/>
          <w:color w:val="auto"/>
        </w:rPr>
      </w:pPr>
    </w:p>
    <w:p>
      <w:pPr>
        <w:jc w:val="both"/>
        <w:ind w:firstLine="1304"/>
        <w:spacing w:after="0" w:line="210" w:lineRule="auto"/>
        <w:tabs>
          <w:tab w:leader="none" w:pos="194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Not Responsible for Adjustments or Validity of Stock</w:t>
      </w:r>
      <w:r>
        <w:rPr>
          <w:rFonts w:ascii="Times New Roman" w:cs="Times New Roman" w:eastAsia="Times New Roman" w:hAnsi="Times New Roman"/>
          <w:sz w:val="22"/>
          <w:szCs w:val="22"/>
          <w:color w:val="auto"/>
        </w:rPr>
        <w:t xml:space="preserve">. The Warrant Agent shall not at any time be under any duty or responsibility to any Holder to determine whether any facts exist that may require an adjustment of the Warrant Exercise Rate, or with respect to the nature or extent of any adjustment when made, or with respect to the method employed, or herein or in any supplemental agreement provided to be employed, in making the same, or with respect to any new exercise terms, or with respect to calculations of any adjustments or any amounts due in connection with any exercise of the Warrants. The Warrant Agent shall not be accountable with respect to the validity or value of any shares of Common Stock or of any securities or property which may at any time be issued or delivered upon the exercise of any Warrant or upon any adjustment pursuant to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and it makes no representation with respect thereto. The Warrant Agent shall not be responsible for any failure of the Company to make any cash payment or to issue, transfer or deliver any Warrant Shares upon the surrender of any Warrant Certificate for the purpose of exercise, nor shall the Warrant Agent be liable for any liquidated damages or any other damages associated therewith.</w:t>
      </w:r>
    </w:p>
    <w:p>
      <w:pPr>
        <w:spacing w:after="0" w:line="157" w:lineRule="exact"/>
        <w:rPr>
          <w:rFonts w:ascii="Times New Roman" w:cs="Times New Roman" w:eastAsia="Times New Roman" w:hAnsi="Times New Roman"/>
          <w:sz w:val="18"/>
          <w:szCs w:val="18"/>
          <w:color w:val="auto"/>
        </w:rPr>
      </w:pPr>
    </w:p>
    <w:p>
      <w:pPr>
        <w:ind w:right="20" w:firstLine="1304"/>
        <w:spacing w:after="0" w:line="236" w:lineRule="auto"/>
        <w:tabs>
          <w:tab w:leader="none" w:pos="19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No Liability for Interest</w:t>
      </w:r>
      <w:r>
        <w:rPr>
          <w:rFonts w:ascii="Times New Roman" w:cs="Times New Roman" w:eastAsia="Times New Roman" w:hAnsi="Times New Roman"/>
          <w:sz w:val="22"/>
          <w:szCs w:val="22"/>
          <w:color w:val="auto"/>
        </w:rPr>
        <w:t>. The Warrant Agent shall have no liability for interest on any monies at any time received by it pursuant to any of the provisions of this Agreement or of the Warrant Certificates.</w:t>
      </w:r>
    </w:p>
    <w:p>
      <w:pPr>
        <w:spacing w:after="0" w:line="150" w:lineRule="exact"/>
        <w:rPr>
          <w:rFonts w:ascii="Times New Roman" w:cs="Times New Roman" w:eastAsia="Times New Roman" w:hAnsi="Times New Roman"/>
          <w:sz w:val="18"/>
          <w:szCs w:val="18"/>
          <w:color w:val="auto"/>
        </w:rPr>
      </w:pPr>
    </w:p>
    <w:p>
      <w:pPr>
        <w:jc w:val="both"/>
        <w:ind w:firstLine="1304"/>
        <w:spacing w:after="0" w:line="215" w:lineRule="auto"/>
        <w:tabs>
          <w:tab w:leader="none" w:pos="193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Agents and Attorneys</w:t>
      </w:r>
      <w:r>
        <w:rPr>
          <w:rFonts w:ascii="Times New Roman" w:cs="Times New Roman" w:eastAsia="Times New Roman" w:hAnsi="Times New Roman"/>
          <w:sz w:val="22"/>
          <w:szCs w:val="22"/>
          <w:color w:val="auto"/>
        </w:rPr>
        <w:t>. The Warrant Agent may execute and exercise any of the rights or powers hereby vested in it or perform any duty hereunder either itself or by or through its attorney or agents, and the Warrant Agent shall not be answerable or accountable for any act, default, neglect or misconduct of any such attorney or agents or subcontractors or for any loss to the Company resulting from any such act, default, neglect or misconduct, absent gross negligence, bad faith or willful misconduct (each as determined by a final, non-appealable judgment of a court of competent jurisdiction) in the selection or continued employment thereof.</w:t>
      </w:r>
    </w:p>
    <w:p>
      <w:pPr>
        <w:spacing w:after="0" w:line="152" w:lineRule="exact"/>
        <w:rPr>
          <w:rFonts w:ascii="Times New Roman" w:cs="Times New Roman" w:eastAsia="Times New Roman" w:hAnsi="Times New Roman"/>
          <w:sz w:val="18"/>
          <w:szCs w:val="18"/>
          <w:color w:val="auto"/>
        </w:rPr>
      </w:pPr>
    </w:p>
    <w:p>
      <w:pPr>
        <w:ind w:firstLine="1304"/>
        <w:spacing w:after="0" w:line="236" w:lineRule="auto"/>
        <w:tabs>
          <w:tab w:leader="none" w:pos="193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Medallion Guarantee</w:t>
      </w:r>
      <w:r>
        <w:rPr>
          <w:rFonts w:ascii="Times New Roman" w:cs="Times New Roman" w:eastAsia="Times New Roman" w:hAnsi="Times New Roman"/>
          <w:sz w:val="22"/>
          <w:szCs w:val="22"/>
          <w:color w:val="auto"/>
        </w:rPr>
        <w:t>. The Warrant Agent may rely on and be fully authorized and protected in acting or failing to act upon (i) any guaranty of signature by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2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“eligible guarantor institution” that is a member or participant in the Securities Transfer Agents Medallion Program or other comparable “signature guarantee program” or insurance program in addition to, or in substitution for, the foregoing; or (ii) any law, act, regulation or any interpretation of the same even though such law, act, or regulation may thereafter have been altered, changed, amended or repealed.</w:t>
      </w:r>
    </w:p>
    <w:p>
      <w:pPr>
        <w:spacing w:after="0" w:line="152" w:lineRule="exact"/>
        <w:rPr>
          <w:sz w:val="20"/>
          <w:szCs w:val="20"/>
          <w:color w:val="auto"/>
        </w:rPr>
      </w:pPr>
    </w:p>
    <w:p>
      <w:pPr>
        <w:jc w:val="both"/>
        <w:ind w:firstLine="729"/>
        <w:spacing w:after="0" w:line="227" w:lineRule="auto"/>
        <w:rPr>
          <w:sz w:val="20"/>
          <w:szCs w:val="20"/>
          <w:color w:val="auto"/>
        </w:rPr>
      </w:pPr>
      <w:r>
        <w:rPr>
          <w:rFonts w:ascii="Times New Roman" w:cs="Times New Roman" w:eastAsia="Times New Roman" w:hAnsi="Times New Roman"/>
          <w:sz w:val="21"/>
          <w:szCs w:val="21"/>
          <w:color w:val="auto"/>
        </w:rPr>
        <w:t xml:space="preserve">Section 7.03 </w:t>
      </w:r>
      <w:r>
        <w:rPr>
          <w:rFonts w:ascii="Times New Roman" w:cs="Times New Roman" w:eastAsia="Times New Roman" w:hAnsi="Times New Roman"/>
          <w:sz w:val="21"/>
          <w:szCs w:val="21"/>
          <w:u w:val="single" w:color="auto"/>
          <w:color w:val="auto"/>
        </w:rPr>
        <w:t>Individual Rights of Warrant Agent</w:t>
      </w:r>
      <w:r>
        <w:rPr>
          <w:rFonts w:ascii="Times New Roman" w:cs="Times New Roman" w:eastAsia="Times New Roman" w:hAnsi="Times New Roman"/>
          <w:sz w:val="21"/>
          <w:szCs w:val="21"/>
          <w:color w:val="auto"/>
        </w:rPr>
        <w:t>. The Warrant Agent and any shareholder, director, officer or employee of the Warrant Agent may buy, sell or deal in any of the Warrants or other securities of the Company or its Affiliates or become pecuniary interested in transactions in which the Company or its Affiliates may be interested, or contract with or lend money to the Company or its Affiliates or otherwise act as fully and freely as though it were not the Warrant Agent under this Agreement. Nothing herein shall preclude the Warrant Agent from acting in any other capacity for the Company or for any other legal entity.</w:t>
      </w:r>
    </w:p>
    <w:p>
      <w:pPr>
        <w:spacing w:after="0" w:line="154" w:lineRule="exact"/>
        <w:rPr>
          <w:sz w:val="20"/>
          <w:szCs w:val="20"/>
          <w:color w:val="auto"/>
        </w:rPr>
      </w:pPr>
    </w:p>
    <w:p>
      <w:pPr>
        <w:jc w:val="both"/>
        <w:ind w:firstLine="729"/>
        <w:spacing w:after="0" w:line="211" w:lineRule="auto"/>
        <w:rPr>
          <w:sz w:val="20"/>
          <w:szCs w:val="20"/>
          <w:color w:val="auto"/>
        </w:rPr>
      </w:pPr>
      <w:r>
        <w:rPr>
          <w:rFonts w:ascii="Times New Roman" w:cs="Times New Roman" w:eastAsia="Times New Roman" w:hAnsi="Times New Roman"/>
          <w:sz w:val="22"/>
          <w:szCs w:val="22"/>
          <w:color w:val="auto"/>
        </w:rPr>
        <w:t xml:space="preserve">Section 7.04 </w:t>
      </w:r>
      <w:r>
        <w:rPr>
          <w:rFonts w:ascii="Times New Roman" w:cs="Times New Roman" w:eastAsia="Times New Roman" w:hAnsi="Times New Roman"/>
          <w:sz w:val="22"/>
          <w:szCs w:val="22"/>
          <w:u w:val="single" w:color="auto"/>
          <w:color w:val="auto"/>
        </w:rPr>
        <w:t>Warrant Agent’s Disclaimer</w:t>
      </w:r>
      <w:r>
        <w:rPr>
          <w:rFonts w:ascii="Times New Roman" w:cs="Times New Roman" w:eastAsia="Times New Roman" w:hAnsi="Times New Roman"/>
          <w:sz w:val="22"/>
          <w:szCs w:val="22"/>
          <w:color w:val="auto"/>
        </w:rPr>
        <w:t>. The Warrant Agent shall not be responsible for and makes no representation as to the validity or adequacy of this Agreement or the Warrant Certificates (other than its countersignature thereof) and it shall not be responsible for any statements of fact or recitals contained in this Agreement or the Warrant Certificates other than its countersignature thereof by the Company, or be required to verify the same, but all such statements and recitals are and shall be deemed to have been made by the Company only; nor shall it be responsible for any breach by the Company of any covenant or condition contained in this Agreement or in any Warrant Certificate; nor shall it by any act hereunder be deemed to make any representation or warranty as to the authorization or reservation of any shares of Common Stock to be issued pursuant to this Agreement or any Warrant Certificate or as to whether any shares of Common Stock will, when issued, be duly authorized, validly issued, fully paid and nonassessable.</w:t>
      </w:r>
    </w:p>
    <w:p>
      <w:pPr>
        <w:spacing w:after="0" w:line="158" w:lineRule="exact"/>
        <w:rPr>
          <w:sz w:val="20"/>
          <w:szCs w:val="20"/>
          <w:color w:val="auto"/>
        </w:rPr>
      </w:pPr>
    </w:p>
    <w:p>
      <w:pPr>
        <w:ind w:left="74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7.05</w:t>
      </w:r>
      <w:r>
        <w:rPr>
          <w:sz w:val="20"/>
          <w:szCs w:val="20"/>
          <w:color w:val="auto"/>
        </w:rPr>
        <w:tab/>
      </w:r>
      <w:r>
        <w:rPr>
          <w:rFonts w:ascii="Times New Roman" w:cs="Times New Roman" w:eastAsia="Times New Roman" w:hAnsi="Times New Roman"/>
          <w:sz w:val="21"/>
          <w:szCs w:val="21"/>
          <w:u w:val="single" w:color="auto"/>
          <w:color w:val="auto"/>
        </w:rPr>
        <w:t>Compensation and Indemnity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5" w:lineRule="auto"/>
        <w:tabs>
          <w:tab w:leader="none" w:pos="1941"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 The Company agrees that the Warrant Agent is entitled, from time to time, to reasonable compensation for its services as agreed in accordance with a fee schedule to be mutually agreed upon between the Company and the Warrant Agent in writing for all services rendered by the Warrant Agent and to reimburse the Warrant Agent for reasonable out-of-pocket expenses (including reasonable and documented counsel fees and other disbursements incurred in the preparation, delivery, negotiation, amendment, administration and execution of this Agreement and the exercise and performance of its duties hereunder) by the Warrant Agent in connection with the services rendered hereunder by the Warrant Agent.</w:t>
      </w:r>
    </w:p>
    <w:p>
      <w:pPr>
        <w:spacing w:after="0" w:line="153" w:lineRule="exact"/>
        <w:rPr>
          <w:rFonts w:ascii="Times New Roman" w:cs="Times New Roman" w:eastAsia="Times New Roman" w:hAnsi="Times New Roman"/>
          <w:sz w:val="17"/>
          <w:szCs w:val="17"/>
          <w:color w:val="auto"/>
        </w:rPr>
      </w:pPr>
    </w:p>
    <w:p>
      <w:pPr>
        <w:jc w:val="both"/>
        <w:ind w:firstLine="1304"/>
        <w:spacing w:after="0" w:line="221" w:lineRule="auto"/>
        <w:tabs>
          <w:tab w:leader="none" w:pos="193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u w:val="single" w:color="auto"/>
          <w:color w:val="auto"/>
        </w:rPr>
        <w:t>Indemnity</w:t>
      </w:r>
      <w:r>
        <w:rPr>
          <w:rFonts w:ascii="Times New Roman" w:cs="Times New Roman" w:eastAsia="Times New Roman" w:hAnsi="Times New Roman"/>
          <w:sz w:val="21"/>
          <w:szCs w:val="21"/>
          <w:color w:val="auto"/>
        </w:rPr>
        <w:t>. The Company shall indemnify and hold harmless the Warrant Agent, its officers, directors, agents and counsel against any loss, liability, damage, judgment, fine, penalty, claim, demand, settlement, cost or expense (including reasonable attorneys’ fees and expenses) which may be paid, incurred or suffered by or to which it may become subject arising from or out of, directly or indirectly, any claims or liability resulting from any action taken, suffered or omitted by the Warrant Agent in connection with the execution, acceptance, administration, exercise and performance of its duties under this Agreement, including the reasonable costs and expenses of defending against any claim of liability arising therefrom, directly or indirectly, or of enforcing its indemnification rights under this Agreement. The Company need not reimburse any expense or indemnify against any loss or liability incurred by the Warrant Agent, its officers, directors, agents and/or counsel through willful misconduct or gross negligence of any one or more of them (which willful misconduct or gross negligence must be determined by a final, non-appealable order, judgment, decree or ruling of a court of competent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2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1304"/>
        <w:spacing w:after="0" w:line="222" w:lineRule="auto"/>
        <w:tabs>
          <w:tab w:leader="none" w:pos="1941"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u w:val="single" w:color="auto"/>
          <w:color w:val="auto"/>
        </w:rPr>
        <w:t>Company Instructions</w:t>
      </w:r>
      <w:r>
        <w:rPr>
          <w:rFonts w:ascii="Times New Roman" w:cs="Times New Roman" w:eastAsia="Times New Roman" w:hAnsi="Times New Roman"/>
          <w:sz w:val="21"/>
          <w:szCs w:val="21"/>
          <w:color w:val="auto"/>
        </w:rPr>
        <w:t>. From time to time, the Company may provide the Warrant Agent with instructions concerning the services performed by the Warrant Agent hereunder. In addition, at any time the Warrant Agent may apply to any officer of the Company for instruction, and may consult with legal counsel for the Warrant Agent or the Company with respect to any matter arising in connection with the services to be performed by the Warrant Agent under this Agreement. The Warrant Agent and its agents and subcontractors shall not be liable and shall be indemnified by the Company for any action taken or omitted in the absence of bad faith by the Warrant Agent (i) in reliance upon any written Company instructions or (ii) upon the advice or opinion of such counsel (in which case, the Warrant Agent will provide advance notice to the Company if it will not take an action required by this Agreement because of the advice or opinion of such counsel). The Warrant Agent shall not be held to have notice of any change of authority of any person, until receipt of written notice thereof from the Company.</w:t>
      </w:r>
    </w:p>
    <w:p>
      <w:pPr>
        <w:spacing w:after="0" w:line="149" w:lineRule="exact"/>
        <w:rPr>
          <w:rFonts w:ascii="Times New Roman" w:cs="Times New Roman" w:eastAsia="Times New Roman" w:hAnsi="Times New Roman"/>
          <w:sz w:val="17"/>
          <w:szCs w:val="17"/>
          <w:color w:val="auto"/>
        </w:rPr>
      </w:pPr>
    </w:p>
    <w:p>
      <w:pPr>
        <w:jc w:val="both"/>
        <w:ind w:firstLine="1304"/>
        <w:spacing w:after="0" w:line="213" w:lineRule="auto"/>
        <w:tabs>
          <w:tab w:leader="none" w:pos="193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The Warrant Agent shall be liable hereunder only for its own gross negligence, bad faith or willful misconduct (each as determined by a final, non-appealable judgment of a court of competent jurisdiction). Notwithstanding anything contained herein to the contrary, the Warrant Agent’s aggregate liability during any term of this Agreement with respect to, arising from, or arising in connection with this Agreement, or from all services provided or omitted to be provided under this Agreement, whether in contract, or in tort, or otherwise, is limited to, and shall not exceed, the amounts paid hereunder by the Company to the Warrant Agent as fees and charges, but not including reimbursable expenses, during the twelve (12) months immediately preceding the event for which recovery from Warrant Agent is being sought.</w:t>
      </w:r>
    </w:p>
    <w:p>
      <w:pPr>
        <w:spacing w:after="0" w:line="156"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4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Consequential Damages</w:t>
      </w:r>
      <w:r>
        <w:rPr>
          <w:rFonts w:ascii="Times New Roman" w:cs="Times New Roman" w:eastAsia="Times New Roman" w:hAnsi="Times New Roman"/>
          <w:sz w:val="22"/>
          <w:szCs w:val="22"/>
          <w:color w:val="auto"/>
        </w:rPr>
        <w:t>. Neither party to this Agreement shall be liable to the other party for any consequential, indirect, special or incidental damages under any provisions of this Agreement or for any consequential, indirect, punitive, special or incidental damages arising out of any act or failure to act hereunder even if that party has been advised of or has foreseen the possibility of such damages.</w:t>
      </w:r>
    </w:p>
    <w:p>
      <w:pPr>
        <w:spacing w:after="0" w:line="152" w:lineRule="exact"/>
        <w:rPr>
          <w:rFonts w:ascii="Times New Roman" w:cs="Times New Roman" w:eastAsia="Times New Roman" w:hAnsi="Times New Roman"/>
          <w:sz w:val="18"/>
          <w:szCs w:val="18"/>
          <w:color w:val="auto"/>
        </w:rPr>
      </w:pPr>
    </w:p>
    <w:p>
      <w:pPr>
        <w:ind w:firstLine="1304"/>
        <w:spacing w:after="0" w:line="255" w:lineRule="auto"/>
        <w:tabs>
          <w:tab w:leader="none" w:pos="19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xml:space="preserve">. The Parties’ obligations pursuant to this </w:t>
      </w:r>
      <w:r>
        <w:rPr>
          <w:rFonts w:ascii="Times New Roman" w:cs="Times New Roman" w:eastAsia="Times New Roman" w:hAnsi="Times New Roman"/>
          <w:sz w:val="21"/>
          <w:szCs w:val="21"/>
          <w:u w:val="single" w:color="auto"/>
          <w:color w:val="auto"/>
        </w:rPr>
        <w:t>Section 7.05</w:t>
      </w:r>
      <w:r>
        <w:rPr>
          <w:rFonts w:ascii="Times New Roman" w:cs="Times New Roman" w:eastAsia="Times New Roman" w:hAnsi="Times New Roman"/>
          <w:sz w:val="21"/>
          <w:szCs w:val="21"/>
          <w:color w:val="auto"/>
        </w:rPr>
        <w:t xml:space="preserve"> shall survive the termination, exercise or expiration of the Warrants, the termination of this Agreement and the resignation, replacement or removal of the Warrant Agent.</w:t>
      </w:r>
    </w:p>
    <w:p>
      <w:pPr>
        <w:spacing w:after="0" w:line="135" w:lineRule="exact"/>
        <w:rPr>
          <w:sz w:val="20"/>
          <w:szCs w:val="20"/>
          <w:color w:val="auto"/>
        </w:rPr>
      </w:pPr>
    </w:p>
    <w:p>
      <w:pPr>
        <w:ind w:left="74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7.06</w:t>
      </w:r>
      <w:r>
        <w:rPr>
          <w:sz w:val="20"/>
          <w:szCs w:val="20"/>
          <w:color w:val="auto"/>
        </w:rPr>
        <w:tab/>
      </w:r>
      <w:r>
        <w:rPr>
          <w:rFonts w:ascii="Times New Roman" w:cs="Times New Roman" w:eastAsia="Times New Roman" w:hAnsi="Times New Roman"/>
          <w:sz w:val="21"/>
          <w:szCs w:val="21"/>
          <w:u w:val="single" w:color="auto"/>
          <w:color w:val="auto"/>
        </w:rPr>
        <w:t>Successor Warrant Agent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5" w:lineRule="auto"/>
        <w:tabs>
          <w:tab w:leader="none" w:pos="194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Company to Provide and Maintain Warrant Agent</w:t>
      </w:r>
      <w:r>
        <w:rPr>
          <w:rFonts w:ascii="Times New Roman" w:cs="Times New Roman" w:eastAsia="Times New Roman" w:hAnsi="Times New Roman"/>
          <w:sz w:val="22"/>
          <w:szCs w:val="22"/>
          <w:color w:val="auto"/>
        </w:rPr>
        <w:t>. The Company agrees for the benefit of the Holders that there shall at all times be a Warrant Agent hereunder (which may include the Company) until all the Warrants have been exercised or are no longer exercisable.</w:t>
      </w:r>
    </w:p>
    <w:p>
      <w:pPr>
        <w:spacing w:after="0" w:line="152" w:lineRule="exact"/>
        <w:rPr>
          <w:rFonts w:ascii="Times New Roman" w:cs="Times New Roman" w:eastAsia="Times New Roman" w:hAnsi="Times New Roman"/>
          <w:sz w:val="18"/>
          <w:szCs w:val="18"/>
          <w:color w:val="auto"/>
        </w:rPr>
      </w:pPr>
    </w:p>
    <w:p>
      <w:pPr>
        <w:jc w:val="both"/>
        <w:ind w:firstLine="1304"/>
        <w:spacing w:after="0" w:line="211" w:lineRule="auto"/>
        <w:tabs>
          <w:tab w:leader="none" w:pos="193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Resignation and Removal</w:t>
      </w:r>
      <w:r>
        <w:rPr>
          <w:rFonts w:ascii="Times New Roman" w:cs="Times New Roman" w:eastAsia="Times New Roman" w:hAnsi="Times New Roman"/>
          <w:sz w:val="22"/>
          <w:szCs w:val="22"/>
          <w:color w:val="auto"/>
        </w:rPr>
        <w:t xml:space="preserve">. The Warrant Agent may at any time resign by giving written notice to the Company of such intention on its part, specifying the date on which its desired resignation shall become effective;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date shall not be less than thirty (30) days after the date on which such notice is given unless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otherwise agrees in writing. In the event the transfer agency relationship in effect between the Company and the Warrant Agent terminates, the Warrant Agent will be deemed to have resigned automatically, subject to the second clause of the preceding sentence, and be discharged from its duties under this Agreement as of the effective date of such termination, and the Company shall be responsible for sending any required notice. The Warrant Agent hereunder may be removed at any time by the filing with it of an instrument in writing signed by or on behalf of the Company and specifying such removal and the date when it shall become effective, which date shall not be fewer than thirty (30) days after such notice is given unless the Warrant Agent otherwise agrees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1304"/>
        <w:spacing w:after="0" w:line="208" w:lineRule="auto"/>
        <w:tabs>
          <w:tab w:leader="none" w:pos="194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The Company to Appoint Successor</w:t>
      </w:r>
      <w:r>
        <w:rPr>
          <w:rFonts w:ascii="Times New Roman" w:cs="Times New Roman" w:eastAsia="Times New Roman" w:hAnsi="Times New Roman"/>
          <w:sz w:val="22"/>
          <w:szCs w:val="22"/>
          <w:color w:val="auto"/>
        </w:rPr>
        <w:t>. In the event that at any time the Warrant Agent shall resign, or shall be removed, or shall become incapable of acting, or shall be adjudged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shall have been entered in respect of the Warrant Agent in an involuntary case under the federal bankruptcy laws, as now or hereafter constituted, or any other applicable federal or state bankruptcy, insolvency or similar law, or a decree or order by a court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Notwithstanding the foregoing, if the Company fails to make such appointment within a period of thirty (30) days after giving notice of such removal or after it has been notified in writing of such resignation or incapacity by the resigning or incapacitated Warrant Agent, then the incumbent Warrant Agent may apply to any court of competent jurisdiction for the appointment of a new Warrant Agent. Pending appointment of a successor to such Warrant Agent either by the Company or by such court, the duties of the Warrant Agent shall be carried out by the Company.</w:t>
      </w:r>
    </w:p>
    <w:p>
      <w:pPr>
        <w:spacing w:after="0" w:line="157" w:lineRule="exact"/>
        <w:rPr>
          <w:rFonts w:ascii="Times New Roman" w:cs="Times New Roman" w:eastAsia="Times New Roman" w:hAnsi="Times New Roman"/>
          <w:sz w:val="18"/>
          <w:szCs w:val="18"/>
          <w:color w:val="auto"/>
        </w:rPr>
      </w:pPr>
    </w:p>
    <w:p>
      <w:pPr>
        <w:jc w:val="both"/>
        <w:ind w:firstLine="1304"/>
        <w:spacing w:after="0" w:line="212" w:lineRule="auto"/>
        <w:tabs>
          <w:tab w:leader="none" w:pos="193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Successor to Expressly Assume Duties</w:t>
      </w:r>
      <w:r>
        <w:rPr>
          <w:rFonts w:ascii="Times New Roman" w:cs="Times New Roman" w:eastAsia="Times New Roman" w:hAnsi="Times New Roman"/>
          <w:sz w:val="22"/>
          <w:szCs w:val="22"/>
          <w:color w:val="auto"/>
        </w:rPr>
        <w:t>. 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rights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 provided that, the predecessor Warrant Agent shall not be required to make any additional expenditure or assume any additional liability in connection with the foregoing.</w:t>
      </w:r>
    </w:p>
    <w:p>
      <w:pPr>
        <w:spacing w:after="0" w:line="156" w:lineRule="exact"/>
        <w:rPr>
          <w:rFonts w:ascii="Times New Roman" w:cs="Times New Roman" w:eastAsia="Times New Roman" w:hAnsi="Times New Roman"/>
          <w:sz w:val="18"/>
          <w:szCs w:val="18"/>
          <w:color w:val="auto"/>
        </w:rPr>
      </w:pPr>
    </w:p>
    <w:p>
      <w:pPr>
        <w:jc w:val="both"/>
        <w:ind w:firstLine="1304"/>
        <w:spacing w:after="0" w:line="217" w:lineRule="auto"/>
        <w:tabs>
          <w:tab w:leader="none" w:pos="194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Successor by Merger</w:t>
      </w:r>
      <w:r>
        <w:rPr>
          <w:rFonts w:ascii="Times New Roman" w:cs="Times New Roman" w:eastAsia="Times New Roman" w:hAnsi="Times New Roman"/>
          <w:sz w:val="22"/>
          <w:szCs w:val="22"/>
          <w:color w:val="auto"/>
        </w:rPr>
        <w:t>. Any Person into which the Warrant Agent hereunder may be merged or consolidated, or any Person resulting from any merger or consolidation to which the Warrant Agent shall be a party, or any Person to which the Warrant Agent shall sell or otherwise transfer all or substantially all of its assets and business, shall be the successor Warrant Agent under this Agreement without the execution or filing of any paper or any further act on the part of any of the Parties.</w:t>
      </w:r>
    </w:p>
    <w:p>
      <w:pPr>
        <w:spacing w:after="0" w:line="152" w:lineRule="exact"/>
        <w:rPr>
          <w:sz w:val="20"/>
          <w:szCs w:val="20"/>
          <w:color w:val="auto"/>
        </w:rPr>
      </w:pPr>
    </w:p>
    <w:p>
      <w:pPr>
        <w:jc w:val="both"/>
        <w:ind w:firstLine="729"/>
        <w:spacing w:after="0" w:line="212" w:lineRule="auto"/>
        <w:rPr>
          <w:sz w:val="20"/>
          <w:szCs w:val="20"/>
          <w:color w:val="auto"/>
        </w:rPr>
      </w:pPr>
      <w:r>
        <w:rPr>
          <w:rFonts w:ascii="Times New Roman" w:cs="Times New Roman" w:eastAsia="Times New Roman" w:hAnsi="Times New Roman"/>
          <w:sz w:val="22"/>
          <w:szCs w:val="22"/>
          <w:color w:val="auto"/>
        </w:rPr>
        <w:t xml:space="preserve">Section 7.07 </w:t>
      </w:r>
      <w:r>
        <w:rPr>
          <w:rFonts w:ascii="Times New Roman" w:cs="Times New Roman" w:eastAsia="Times New Roman" w:hAnsi="Times New Roman"/>
          <w:sz w:val="22"/>
          <w:szCs w:val="22"/>
          <w:u w:val="single" w:color="auto"/>
          <w:color w:val="auto"/>
        </w:rPr>
        <w:t>Bank Accounts</w:t>
      </w:r>
      <w:r>
        <w:rPr>
          <w:rFonts w:ascii="Times New Roman" w:cs="Times New Roman" w:eastAsia="Times New Roman" w:hAnsi="Times New Roman"/>
          <w:sz w:val="22"/>
          <w:szCs w:val="22"/>
          <w:color w:val="auto"/>
        </w:rPr>
        <w:t>. All funds received by the Warrant Agent under this Agreement that are to be distributed or applied by the Warrant Agent in the performance of services hereunder (the “</w:t>
      </w:r>
      <w:r>
        <w:rPr>
          <w:rFonts w:ascii="Times New Roman" w:cs="Times New Roman" w:eastAsia="Times New Roman" w:hAnsi="Times New Roman"/>
          <w:sz w:val="22"/>
          <w:szCs w:val="22"/>
          <w:u w:val="single" w:color="auto"/>
          <w:color w:val="auto"/>
        </w:rPr>
        <w:t>Funds</w:t>
      </w:r>
      <w:r>
        <w:rPr>
          <w:rFonts w:ascii="Times New Roman" w:cs="Times New Roman" w:eastAsia="Times New Roman" w:hAnsi="Times New Roman"/>
          <w:sz w:val="22"/>
          <w:szCs w:val="22"/>
          <w:color w:val="auto"/>
        </w:rPr>
        <w:t xml:space="preserve"> ”) shall be held by the Warrant Agent as agent for the Company and deposited in one or more bank accounts to be maintained by the Warrant Agent in its name as agent for the Company. Until paid pursuant to this Agreement, the Warrant Agent may hold or invest the Funds through such accounts in: (a) funds backed by obligations of, or guaranteed by, the United States of America; (b) debt or commercial paper obligations rated A-1 or P-1 or better by S&amp;P Global Inc. (“</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or Moody's Investors Service, Inc. (“</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respectively; (c) Government and Treasury backed AAA-rated Fixed NAV money market funds that comply with Rule 2a-7 of the Investment Company Act of 1940, as amended; or (d) short term certificates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deposit, bank repurchase agreements, and bank accounts with commercial banks with Tier 1 capital exceeding $1 billion, or with an investment grade rating by S&amp;P (LT Local Issuer Credit Rating), Moody’s (Long Term Rating) and Fitch Ratings, Inc. (LT Issuer Default Rating) (each as reported by Bloomberg Finance L.P.). The Warrant Agent shall have no responsibility or liability for any diminution of the Funds that may result from any deposit or investment made in accordance with this paragraph, including any losses resulting from a default by any bank, financial institution or other third party. The Warrant Agent may from time to time receive interest, dividends or other earnings in connection with such deposits or investments. the Warrant Agent shall not be obligated to pay such interest, dividends or earnings to the Company, any holder or any other party.</w:t>
      </w:r>
    </w:p>
    <w:p>
      <w:pPr>
        <w:spacing w:after="0" w:line="156" w:lineRule="exact"/>
        <w:rPr>
          <w:sz w:val="20"/>
          <w:szCs w:val="20"/>
          <w:color w:val="auto"/>
        </w:rPr>
      </w:pPr>
    </w:p>
    <w:p>
      <w:pPr>
        <w:jc w:val="both"/>
        <w:ind w:firstLine="729"/>
        <w:spacing w:after="0" w:line="207" w:lineRule="auto"/>
        <w:rPr>
          <w:sz w:val="20"/>
          <w:szCs w:val="20"/>
          <w:color w:val="auto"/>
        </w:rPr>
      </w:pPr>
      <w:r>
        <w:rPr>
          <w:rFonts w:ascii="Times New Roman" w:cs="Times New Roman" w:eastAsia="Times New Roman" w:hAnsi="Times New Roman"/>
          <w:sz w:val="22"/>
          <w:szCs w:val="22"/>
          <w:color w:val="auto"/>
        </w:rPr>
        <w:t xml:space="preserve">Section 7.08 </w:t>
      </w:r>
      <w:r>
        <w:rPr>
          <w:rFonts w:ascii="Times New Roman" w:cs="Times New Roman" w:eastAsia="Times New Roman" w:hAnsi="Times New Roman"/>
          <w:sz w:val="22"/>
          <w:szCs w:val="22"/>
          <w:u w:val="single" w:color="auto"/>
          <w:color w:val="auto"/>
        </w:rPr>
        <w:t>Delivery of Warrant Exercise Price</w:t>
      </w:r>
      <w:r>
        <w:rPr>
          <w:rFonts w:ascii="Times New Roman" w:cs="Times New Roman" w:eastAsia="Times New Roman" w:hAnsi="Times New Roman"/>
          <w:sz w:val="22"/>
          <w:szCs w:val="22"/>
          <w:color w:val="auto"/>
        </w:rPr>
        <w:t>. The Warrant Agent shall forward funds received for warrant exercises in a given month by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Business Day of the following month or by one (1) Business Day upon written request of the Company by wire transfer to an account designated by the Company.</w:t>
      </w:r>
    </w:p>
    <w:p>
      <w:pPr>
        <w:spacing w:after="0" w:line="150" w:lineRule="exact"/>
        <w:rPr>
          <w:sz w:val="20"/>
          <w:szCs w:val="20"/>
          <w:color w:val="auto"/>
        </w:rPr>
      </w:pPr>
    </w:p>
    <w:p>
      <w:pPr>
        <w:jc w:val="both"/>
        <w:ind w:firstLine="729"/>
        <w:spacing w:after="0" w:line="225" w:lineRule="auto"/>
        <w:rPr>
          <w:sz w:val="20"/>
          <w:szCs w:val="20"/>
          <w:color w:val="auto"/>
        </w:rPr>
      </w:pPr>
      <w:r>
        <w:rPr>
          <w:rFonts w:ascii="Times New Roman" w:cs="Times New Roman" w:eastAsia="Times New Roman" w:hAnsi="Times New Roman"/>
          <w:sz w:val="22"/>
          <w:szCs w:val="22"/>
          <w:color w:val="auto"/>
        </w:rPr>
        <w:t xml:space="preserve">Section 7.09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The Company shall perform, acknowledge and deliver or cause to be performed, acknowledged and delivered all such further and other acts, documents, instruments and assurances as may be reasonably required by the Warrant Agent for the carrying out or performing by the Warrant Agent of the provisions of this Agreement.</w:t>
      </w:r>
    </w:p>
    <w:p>
      <w:pPr>
        <w:spacing w:after="0" w:line="153" w:lineRule="exact"/>
        <w:rPr>
          <w:sz w:val="20"/>
          <w:szCs w:val="20"/>
          <w:color w:val="auto"/>
        </w:rPr>
      </w:pPr>
    </w:p>
    <w:p>
      <w:pPr>
        <w:jc w:val="both"/>
        <w:ind w:firstLine="729"/>
        <w:spacing w:after="0" w:line="215" w:lineRule="auto"/>
        <w:rPr>
          <w:sz w:val="20"/>
          <w:szCs w:val="20"/>
          <w:color w:val="auto"/>
        </w:rPr>
      </w:pPr>
      <w:r>
        <w:rPr>
          <w:rFonts w:ascii="Times New Roman" w:cs="Times New Roman" w:eastAsia="Times New Roman" w:hAnsi="Times New Roman"/>
          <w:sz w:val="22"/>
          <w:szCs w:val="22"/>
          <w:color w:val="auto"/>
        </w:rPr>
        <w:t xml:space="preserve">Section 7.10 </w:t>
      </w: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Notwithstanding anything to the contrary contained herein, the Company and Warrant Agent will not be liable for any delays or failures in performance to the extent that they result from acts beyond its reasonable control including, without limitation, acts of God, epidemics, pandemics, terrorist acts (including cyberbreaches of any type of a Party’s electronic information systems), shortage of supply, breakdowns or malfunctions, interruptions or malfunction of computer facilities, or loss of data due to power failures or mechanical difficulties with information storage or retrieval systems, labor difficulties, war, or civil unrest.</w:t>
      </w:r>
    </w:p>
    <w:p>
      <w:pPr>
        <w:spacing w:after="0" w:line="152" w:lineRule="exact"/>
        <w:rPr>
          <w:sz w:val="20"/>
          <w:szCs w:val="20"/>
          <w:color w:val="auto"/>
        </w:rPr>
      </w:pPr>
    </w:p>
    <w:p>
      <w:pPr>
        <w:jc w:val="both"/>
        <w:ind w:firstLine="729"/>
        <w:spacing w:after="0" w:line="213" w:lineRule="auto"/>
        <w:rPr>
          <w:sz w:val="20"/>
          <w:szCs w:val="20"/>
          <w:color w:val="auto"/>
        </w:rPr>
      </w:pPr>
      <w:r>
        <w:rPr>
          <w:rFonts w:ascii="Times New Roman" w:cs="Times New Roman" w:eastAsia="Times New Roman" w:hAnsi="Times New Roman"/>
          <w:sz w:val="22"/>
          <w:szCs w:val="22"/>
          <w:color w:val="auto"/>
        </w:rPr>
        <w:t xml:space="preserve">Section 7.11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xml:space="preserve">. The Warrant Agent and the Company agree that all books, records, information and data pertaining to the business of the other party, including </w:t>
      </w:r>
      <w:r>
        <w:rPr>
          <w:rFonts w:ascii="Times New Roman" w:cs="Times New Roman" w:eastAsia="Times New Roman" w:hAnsi="Times New Roman"/>
          <w:sz w:val="22"/>
          <w:szCs w:val="22"/>
          <w:i w:val="1"/>
          <w:iCs w:val="1"/>
          <w:color w:val="auto"/>
        </w:rPr>
        <w:t>inter alia</w:t>
      </w:r>
      <w:r>
        <w:rPr>
          <w:rFonts w:ascii="Times New Roman" w:cs="Times New Roman" w:eastAsia="Times New Roman" w:hAnsi="Times New Roman"/>
          <w:sz w:val="22"/>
          <w:szCs w:val="22"/>
          <w:color w:val="auto"/>
        </w:rPr>
        <w:t>, personal, non-public Holder information, which are exchanged or received pursuant to the negotiation or the carrying out of this Agreement including the fees for services set forth in the attached schedule shall remain confidential, and shall not be voluntarily disclosed to any other person, except as may be required by law, including, without limitation, pursuant to subpoenas from state, or federal or national government authorities (e.g., in divorce and criminal actions); provided, that for the avoidance of doubt, this Agreement may be filed by the Company with the SEC (without including any fee information).</w:t>
      </w:r>
    </w:p>
    <w:p>
      <w:pPr>
        <w:spacing w:after="0" w:line="18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170" w:lineRule="exact"/>
        <w:rPr>
          <w:sz w:val="20"/>
          <w:szCs w:val="20"/>
          <w:color w:val="auto"/>
        </w:rPr>
      </w:pPr>
    </w:p>
    <w:p>
      <w:pPr>
        <w:ind w:left="74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8.01</w:t>
      </w:r>
      <w:r>
        <w:rPr>
          <w:sz w:val="20"/>
          <w:szCs w:val="20"/>
          <w:color w:val="auto"/>
        </w:rPr>
        <w:tab/>
      </w:r>
      <w:r>
        <w:rPr>
          <w:rFonts w:ascii="Times New Roman" w:cs="Times New Roman" w:eastAsia="Times New Roman" w:hAnsi="Times New Roman"/>
          <w:sz w:val="22"/>
          <w:szCs w:val="22"/>
          <w:u w:val="single" w:color="auto"/>
          <w:color w:val="auto"/>
        </w:rPr>
        <w:t>Persons Benefiting</w:t>
      </w:r>
      <w:r>
        <w:rPr>
          <w:rFonts w:ascii="Times New Roman" w:cs="Times New Roman" w:eastAsia="Times New Roman" w:hAnsi="Times New Roman"/>
          <w:sz w:val="22"/>
          <w:szCs w:val="22"/>
          <w:color w:val="auto"/>
        </w:rPr>
        <w:t>. Nothing in this Agreement is intended or shall be construed to confer upon any</w:t>
      </w:r>
    </w:p>
    <w:p>
      <w:pPr>
        <w:spacing w:after="0" w:line="204" w:lineRule="auto"/>
        <w:rPr>
          <w:sz w:val="20"/>
          <w:szCs w:val="20"/>
          <w:color w:val="auto"/>
        </w:rPr>
      </w:pPr>
      <w:r>
        <w:rPr>
          <w:rFonts w:ascii="Times New Roman" w:cs="Times New Roman" w:eastAsia="Times New Roman" w:hAnsi="Times New Roman"/>
          <w:sz w:val="22"/>
          <w:szCs w:val="22"/>
          <w:color w:val="auto"/>
        </w:rPr>
        <w:t>Person other than the Company, the Warrant Agent and the Holders any right, remedy or claim under or by reason of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or any part hereof.</w:t>
      </w:r>
    </w:p>
    <w:p>
      <w:pPr>
        <w:spacing w:after="0" w:line="155" w:lineRule="exact"/>
        <w:rPr>
          <w:sz w:val="20"/>
          <w:szCs w:val="20"/>
          <w:color w:val="auto"/>
        </w:rPr>
      </w:pPr>
    </w:p>
    <w:p>
      <w:pPr>
        <w:jc w:val="both"/>
        <w:ind w:firstLine="729"/>
        <w:spacing w:after="0" w:line="220" w:lineRule="auto"/>
        <w:rPr>
          <w:sz w:val="20"/>
          <w:szCs w:val="20"/>
          <w:color w:val="auto"/>
        </w:rPr>
      </w:pPr>
      <w:r>
        <w:rPr>
          <w:rFonts w:ascii="Times New Roman" w:cs="Times New Roman" w:eastAsia="Times New Roman" w:hAnsi="Times New Roman"/>
          <w:sz w:val="22"/>
          <w:szCs w:val="22"/>
          <w:color w:val="auto"/>
        </w:rPr>
        <w:t xml:space="preserve">Section 8.02 </w:t>
      </w:r>
      <w:r>
        <w:rPr>
          <w:rFonts w:ascii="Times New Roman" w:cs="Times New Roman" w:eastAsia="Times New Roman" w:hAnsi="Times New Roman"/>
          <w:sz w:val="22"/>
          <w:szCs w:val="22"/>
          <w:u w:val="single" w:color="auto"/>
          <w:color w:val="auto"/>
        </w:rPr>
        <w:t>Rights of Holders</w:t>
      </w:r>
      <w:r>
        <w:rPr>
          <w:rFonts w:ascii="Times New Roman" w:cs="Times New Roman" w:eastAsia="Times New Roman" w:hAnsi="Times New Roman"/>
          <w:sz w:val="22"/>
          <w:szCs w:val="22"/>
          <w:color w:val="auto"/>
        </w:rPr>
        <w:t>. Holders of unexercised Warrants, as such, have no rights as shareholders and are not entitled to exercise any rights whatsoever as shareholders of the Company, including, but not limited to the rights to (a) receive dividends or other distributions, (b) receive notice of or vote at any meeting of the shareholders, (c) consent to any action of the shareholders, (d) receive notice of any other proceedings of the Company or (e) exercise any preemptive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729"/>
        <w:spacing w:after="0" w:line="225" w:lineRule="auto"/>
        <w:rPr>
          <w:sz w:val="20"/>
          <w:szCs w:val="20"/>
          <w:color w:val="auto"/>
        </w:rPr>
      </w:pPr>
      <w:r>
        <w:rPr>
          <w:rFonts w:ascii="Times New Roman" w:cs="Times New Roman" w:eastAsia="Times New Roman" w:hAnsi="Times New Roman"/>
          <w:sz w:val="22"/>
          <w:szCs w:val="22"/>
          <w:color w:val="auto"/>
        </w:rPr>
        <w:t xml:space="preserve">Section 8.03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or communication between the parties to this Agreement shall be in writing and delivered in Person or mailed by first-class mail with overnight delivery service. Notices sent by mail as described in this section should be addressed as follows: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Enovix Corporation</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3501 W Warren Avenue</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Fremont, California 94538</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and email to: legal@enovix.com</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to:</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Arnold &amp; Porter Kaye Scholer LLP</w:t>
      </w:r>
    </w:p>
    <w:p>
      <w:pPr>
        <w:ind w:left="1960"/>
        <w:spacing w:after="0" w:line="221" w:lineRule="auto"/>
        <w:rPr>
          <w:sz w:val="20"/>
          <w:szCs w:val="20"/>
          <w:color w:val="auto"/>
        </w:rPr>
      </w:pPr>
      <w:r>
        <w:rPr>
          <w:rFonts w:ascii="Times New Roman" w:cs="Times New Roman" w:eastAsia="Times New Roman" w:hAnsi="Times New Roman"/>
          <w:sz w:val="22"/>
          <w:szCs w:val="22"/>
          <w:color w:val="auto"/>
        </w:rPr>
        <w:t>250 West 55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23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Michael Penney</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and email to: michael.penney@arnoldporter.com</w:t>
      </w:r>
    </w:p>
    <w:p>
      <w:pPr>
        <w:spacing w:after="0" w:line="19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Conv-Ex Advisors Limited</w:t>
      </w:r>
    </w:p>
    <w:p>
      <w:pPr>
        <w:spacing w:after="0" w:line="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80 Coleman Street</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London</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EC2R 5BJ</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United Kingdom</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 calculation.agent@conv-ex.com</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Calculation Agency Team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Warrant Agent:</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Computershare Trust Company N.A.,</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Computershare Inc.</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150 Royall Street</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Canton, MA 02021</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Client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2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to:</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Conv-Ex Advisors Limited</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80 Coleman Street</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London</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EC2R 5BJ</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United Kingdom</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 calculation.agent@conv-ex.com</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Calculation Agency Team</w:t>
      </w:r>
    </w:p>
    <w:p>
      <w:pPr>
        <w:spacing w:after="0" w:line="20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Company or the Warrant Agent each by notice to the other may designate in writing additional or different physical addresses or e-mail addresses for subsequent notices or communications.</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Except for any notice which may be given by issuance of a press release pursuant to the terms of this Agreement, any notice or communication mailed to a Holder shall be mailed to the Holder at the Holder’s address as it appears on the Warrant Register, and shall be sufficiently given if so mailed within the time prescribed. Failure to deliver a notice or communication to a Holder or any defect in it shall not affect its sufficiency with respect to other Holders. If a notice or communication is delivered in the manner provided above, it is duly given when sent, whether or not the addressee receives it.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Notwithstanding any other provision of this Agreement, where this Agreement provides for notice of any event to the Holders, such notice shall be sufficiently given to any Holder of a Warrant represented by a Global Warrant if given to the Depositary pursuant to the customary procedures of the Depositary.</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Except for any notice which provides for a shorter period pursuant to the terms of this Agreement, any notice delivered pursuant to this Agreement that restricts the ability of a Holder to exercise its Warrant not otherwise described in this Agreement shall only be effective at least five (5) Business Days after the delivery of such notice.</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Notwithstanding anything to the contrary herein, Issuance by the Company of a press release in accordance with its customary procedures or as prescribed by this Agreement shall satisfy any requirement to provide public notice or notice in writing or by email under this Agreement (except for notices required to be delivered to the Warrant Agent).</w:t>
      </w:r>
    </w:p>
    <w:p>
      <w:pPr>
        <w:spacing w:after="0" w:line="159" w:lineRule="exact"/>
        <w:rPr>
          <w:sz w:val="20"/>
          <w:szCs w:val="20"/>
          <w:color w:val="auto"/>
        </w:rPr>
      </w:pPr>
    </w:p>
    <w:p>
      <w:pPr>
        <w:jc w:val="both"/>
        <w:ind w:firstLine="729"/>
        <w:spacing w:after="0" w:line="226" w:lineRule="auto"/>
        <w:rPr>
          <w:sz w:val="20"/>
          <w:szCs w:val="20"/>
          <w:color w:val="auto"/>
        </w:rPr>
      </w:pPr>
      <w:r>
        <w:rPr>
          <w:rFonts w:ascii="Times New Roman" w:cs="Times New Roman" w:eastAsia="Times New Roman" w:hAnsi="Times New Roman"/>
          <w:sz w:val="21"/>
          <w:szCs w:val="21"/>
          <w:color w:val="auto"/>
        </w:rPr>
        <w:t xml:space="preserve">Section 8.04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xml:space="preserve">. THE LAW OF THE STATE OF NEW YORK SHALL GOVERN AND BE USED TO CONSTRUE THIS AGREEMENT, THE WARRANT CERTIFICATES AND THE WARRANTS. </w:t>
      </w:r>
      <w:r>
        <w:rPr>
          <w:rFonts w:ascii="Times New Roman" w:cs="Times New Roman" w:eastAsia="Times New Roman" w:hAnsi="Times New Roman"/>
          <w:sz w:val="21"/>
          <w:szCs w:val="21"/>
          <w:b w:val="1"/>
          <w:bCs w:val="1"/>
          <w:color w:val="auto"/>
        </w:rPr>
        <w:t>EACH OF THE PARTIES</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b w:val="1"/>
          <w:bCs w:val="1"/>
          <w:color w:val="auto"/>
        </w:rPr>
        <w:t>HERETO HEREBY IRREVOCABLY WAIVES, TO THE FULLEST EXTENT PERMITTED BY APPLICABLE LAW, ANY AND ALL RIGHT TO TRIAL BY JURY IN ANY ACTION OR PROCEEDING ARISING OUT OF OR RELATING TO THIS AGREEMENT, THE WARRANT CERTIFICATES AND THE WARRANTS OR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2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729"/>
        <w:spacing w:after="0" w:line="236" w:lineRule="auto"/>
        <w:rPr>
          <w:sz w:val="20"/>
          <w:szCs w:val="20"/>
          <w:color w:val="auto"/>
        </w:rPr>
      </w:pPr>
      <w:r>
        <w:rPr>
          <w:rFonts w:ascii="Times New Roman" w:cs="Times New Roman" w:eastAsia="Times New Roman" w:hAnsi="Times New Roman"/>
          <w:sz w:val="22"/>
          <w:szCs w:val="22"/>
          <w:color w:val="auto"/>
        </w:rPr>
        <w:t xml:space="preserve">Section 8.05 </w:t>
      </w: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All agreements of the Company in this Agreement and the Warrant Certificates shall bind its successors. All agreements of the Warrant Agent in this Agreement shall bind its successors.</w:t>
      </w:r>
    </w:p>
    <w:p>
      <w:pPr>
        <w:spacing w:after="0" w:line="150" w:lineRule="exact"/>
        <w:rPr>
          <w:sz w:val="20"/>
          <w:szCs w:val="20"/>
          <w:color w:val="auto"/>
        </w:rPr>
      </w:pPr>
    </w:p>
    <w:p>
      <w:pPr>
        <w:jc w:val="both"/>
        <w:ind w:firstLine="729"/>
        <w:spacing w:after="0" w:line="215" w:lineRule="auto"/>
        <w:rPr>
          <w:sz w:val="20"/>
          <w:szCs w:val="20"/>
          <w:color w:val="auto"/>
        </w:rPr>
      </w:pPr>
      <w:r>
        <w:rPr>
          <w:rFonts w:ascii="Times New Roman" w:cs="Times New Roman" w:eastAsia="Times New Roman" w:hAnsi="Times New Roman"/>
          <w:sz w:val="22"/>
          <w:szCs w:val="22"/>
          <w:color w:val="auto"/>
        </w:rPr>
        <w:t xml:space="preserve">Section 8.06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shall be deemed an original, but all of which together constitute one and the same instrument. Counterparts may be delivered via facsimile, PDF, electronic mail (including any electronic signature covered by the U.S. federal ESIGN of 2000, Uniform Electronic Transactions Act, the Electronic Signatures and Records Act or other applicable law, including docusign.com) or other transmission method and any counterpart so delivered shall be deemed to have been duly and validly delivered and be valid and effective for all purposes.</w:t>
      </w:r>
    </w:p>
    <w:p>
      <w:pPr>
        <w:spacing w:after="0" w:line="152" w:lineRule="exact"/>
        <w:rPr>
          <w:sz w:val="20"/>
          <w:szCs w:val="20"/>
          <w:color w:val="auto"/>
        </w:rPr>
      </w:pPr>
    </w:p>
    <w:p>
      <w:pPr>
        <w:jc w:val="both"/>
        <w:ind w:firstLine="729"/>
        <w:spacing w:after="0" w:line="215" w:lineRule="auto"/>
        <w:rPr>
          <w:sz w:val="20"/>
          <w:szCs w:val="20"/>
          <w:color w:val="auto"/>
        </w:rPr>
      </w:pPr>
      <w:r>
        <w:rPr>
          <w:rFonts w:ascii="Times New Roman" w:cs="Times New Roman" w:eastAsia="Times New Roman" w:hAnsi="Times New Roman"/>
          <w:sz w:val="22"/>
          <w:szCs w:val="22"/>
          <w:color w:val="auto"/>
        </w:rPr>
        <w:t xml:space="preserve">Section 8.07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The provisions of this Agreement are severable, and if any clause or provision shall be held invalid, illegal or unenforceable in whole or in part in any jurisdiction, then such invalidity or unenforceability shall affect in that jurisdiction only such clause or provision, or part thereof, and shall not in any manner affect such clause or provision in any other jurisdiction or any other clause or provision of this Agreement in any jurisdiction;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such excluded provision shall materially and adversely affect the rights, immunities, liabilities, duties or obligations of the Warrant Agent, the Warrant Agent shall be entitled to resign immediately upon written notice to the Company.</w:t>
      </w:r>
    </w:p>
    <w:p>
      <w:pPr>
        <w:spacing w:after="0" w:line="152" w:lineRule="exact"/>
        <w:rPr>
          <w:sz w:val="20"/>
          <w:szCs w:val="20"/>
          <w:color w:val="auto"/>
        </w:rPr>
      </w:pPr>
    </w:p>
    <w:p>
      <w:pPr>
        <w:jc w:val="both"/>
        <w:ind w:firstLine="729"/>
        <w:spacing w:after="0" w:line="209" w:lineRule="auto"/>
        <w:rPr>
          <w:sz w:val="20"/>
          <w:szCs w:val="20"/>
          <w:color w:val="auto"/>
        </w:rPr>
      </w:pPr>
      <w:r>
        <w:rPr>
          <w:rFonts w:ascii="Times New Roman" w:cs="Times New Roman" w:eastAsia="Times New Roman" w:hAnsi="Times New Roman"/>
          <w:sz w:val="22"/>
          <w:szCs w:val="22"/>
          <w:color w:val="auto"/>
        </w:rPr>
        <w:t xml:space="preserve">Section 8.08 </w:t>
      </w:r>
      <w:r>
        <w:rPr>
          <w:rFonts w:ascii="Times New Roman" w:cs="Times New Roman" w:eastAsia="Times New Roman" w:hAnsi="Times New Roman"/>
          <w:sz w:val="22"/>
          <w:szCs w:val="22"/>
          <w:u w:val="single" w:color="auto"/>
          <w:color w:val="auto"/>
        </w:rPr>
        <w:t>Withholding Rights</w:t>
      </w:r>
      <w:r>
        <w:rPr>
          <w:rFonts w:ascii="Times New Roman" w:cs="Times New Roman" w:eastAsia="Times New Roman" w:hAnsi="Times New Roman"/>
          <w:sz w:val="22"/>
          <w:szCs w:val="22"/>
          <w:color w:val="auto"/>
        </w:rPr>
        <w:t xml:space="preserve">. In the event that the Company, the Warrant Agent or their agents determine that they are obligated to withhold or deduct any tax or other governmental charge under any applicable law on behalf of a Holder (whether upon the distribution of the Warrants under this Agreement, upon any adjustment made pursuant to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upon exercise or otherwise), the Company, the Warrant Agent or their agents shall be entitled, but not obligated, to deduct and withhold such amount by withholding a portion or all of the Warrants or Warrant Shares otherwise deliverable or by otherwise using any property (including, without limitation, Warrants, Warrant Shares or cash) that would otherwise be delivered to or is owned by such Holder, in each case in such amounts as they deem necessary to meet their withholding obligations, and shall also be entitled, but not obligated, to sell all or a portion of such withheld Warrants, Warrant Shares or such other property by public or private sale in such amounts and in such manner as they deem necessary and practicable to pay such taxes and charges. In such case, (i) the Company, the Warrant Agent or their agents, as applicable, shall remit to the applicable tax or other authority the required withholding amount or other charge, and (ii) any withheld amounts (and, if applicable in connection with adjustments pursuant to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other property) shall be treated for all purposes of this Agreement as having been distributed to the Holders in respect of which such deduction and withholding was made.</w:t>
      </w:r>
    </w:p>
    <w:p>
      <w:pPr>
        <w:spacing w:after="0" w:line="160" w:lineRule="exact"/>
        <w:rPr>
          <w:sz w:val="20"/>
          <w:szCs w:val="20"/>
          <w:color w:val="auto"/>
        </w:rPr>
      </w:pPr>
    </w:p>
    <w:p>
      <w:pPr>
        <w:jc w:val="both"/>
        <w:ind w:firstLine="729"/>
        <w:spacing w:after="0" w:line="211" w:lineRule="auto"/>
        <w:rPr>
          <w:sz w:val="20"/>
          <w:szCs w:val="20"/>
          <w:color w:val="auto"/>
        </w:rPr>
      </w:pPr>
      <w:r>
        <w:rPr>
          <w:rFonts w:ascii="Times New Roman" w:cs="Times New Roman" w:eastAsia="Times New Roman" w:hAnsi="Times New Roman"/>
          <w:sz w:val="22"/>
          <w:szCs w:val="22"/>
          <w:color w:val="auto"/>
        </w:rPr>
        <w:t xml:space="preserve">Section 8.09 </w:t>
      </w:r>
      <w:r>
        <w:rPr>
          <w:rFonts w:ascii="Times New Roman" w:cs="Times New Roman" w:eastAsia="Times New Roman" w:hAnsi="Times New Roman"/>
          <w:sz w:val="22"/>
          <w:szCs w:val="22"/>
          <w:u w:val="single" w:color="auto"/>
          <w:color w:val="auto"/>
        </w:rPr>
        <w:t>Calculations; Calculation Agent</w:t>
      </w:r>
      <w:r>
        <w:rPr>
          <w:rFonts w:ascii="Times New Roman" w:cs="Times New Roman" w:eastAsia="Times New Roman" w:hAnsi="Times New Roman"/>
          <w:sz w:val="22"/>
          <w:szCs w:val="22"/>
          <w:color w:val="auto"/>
        </w:rPr>
        <w:t>. Conv-Ex Advisors Limited shall be the initial Calculation Agent, pursuant and subject to the terms of the Calculation Agency Agreement, dated on or about the date of this Agreement. The Calculation Agent will be responsible for making all calculations and other determinations specified to be made by it under this Agreement and the Warrants, and any calculations and determinations not so specified will be the responsibility of the Company or an Independent Advisor. All calculations and determinations will be made in good faith and, absent manifest error, such calculations and determinations will be final and binding on the Company, the Warrant Agent and the Holders. The Company will provide with reasonable notice a schedule of the calculations and determinations made by the Company, the Calculation Agent or an Independent Advisor, as applicable, to the Warrant Agent. The Warrant Agent is entitled to rely conclusively upon the accuracy of the calculations and determinations made by the Company, the Calculation Agent and any Independent Advisor appointed in accordance with this Agreement without independent verification.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729"/>
        <w:spacing w:after="0" w:line="215" w:lineRule="auto"/>
        <w:rPr>
          <w:sz w:val="20"/>
          <w:szCs w:val="20"/>
          <w:color w:val="auto"/>
        </w:rPr>
      </w:pPr>
      <w:r>
        <w:rPr>
          <w:rFonts w:ascii="Times New Roman" w:cs="Times New Roman" w:eastAsia="Times New Roman" w:hAnsi="Times New Roman"/>
          <w:sz w:val="22"/>
          <w:szCs w:val="22"/>
          <w:color w:val="auto"/>
        </w:rPr>
        <w:t xml:space="preserve">Section 8.10 </w:t>
      </w:r>
      <w:r>
        <w:rPr>
          <w:rFonts w:ascii="Times New Roman" w:cs="Times New Roman" w:eastAsia="Times New Roman" w:hAnsi="Times New Roman"/>
          <w:sz w:val="22"/>
          <w:szCs w:val="22"/>
          <w:u w:val="single" w:color="auto"/>
          <w:color w:val="auto"/>
        </w:rPr>
        <w:t>Limited Responsibility of Calculation Agent and Independent Advisor</w:t>
      </w:r>
      <w:r>
        <w:rPr>
          <w:rFonts w:ascii="Times New Roman" w:cs="Times New Roman" w:eastAsia="Times New Roman" w:hAnsi="Times New Roman"/>
          <w:sz w:val="22"/>
          <w:szCs w:val="22"/>
          <w:color w:val="auto"/>
        </w:rPr>
        <w:t>. The Calculation Agent (and any Independent Advisor appointed in connection with the Warrants) is acting exclusively as an agent for, and upon request by, the Company. Neither the Calculation Agent (acting in such capacity) nor any Independent Advisor appointed in connection with the Warrants (acting in such capacity) shall have any relationship of agency or trust with, nor shall the Calculation Agent (acting in such capacity) nor any Independent Advisor appointed as aforesaid shall be liable to nor shall they incur any liability as against, the Holders or the Warrant Agent.</w:t>
      </w:r>
    </w:p>
    <w:p>
      <w:pPr>
        <w:spacing w:after="0" w:line="152" w:lineRule="exact"/>
        <w:rPr>
          <w:sz w:val="20"/>
          <w:szCs w:val="20"/>
          <w:color w:val="auto"/>
        </w:rPr>
      </w:pPr>
    </w:p>
    <w:p>
      <w:pPr>
        <w:jc w:val="both"/>
        <w:ind w:firstLine="729"/>
        <w:spacing w:after="0" w:line="215" w:lineRule="auto"/>
        <w:rPr>
          <w:sz w:val="20"/>
          <w:szCs w:val="20"/>
          <w:color w:val="auto"/>
        </w:rPr>
      </w:pPr>
      <w:r>
        <w:rPr>
          <w:rFonts w:ascii="Times New Roman" w:cs="Times New Roman" w:eastAsia="Times New Roman" w:hAnsi="Times New Roman"/>
          <w:sz w:val="22"/>
          <w:szCs w:val="22"/>
          <w:color w:val="auto"/>
        </w:rPr>
        <w:t xml:space="preserve">Section 8.11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and the Warrant Certificate contain the entire agreement and understanding among the parties hereto with respect to the subject matter hereof, and supersede all prior and contemporaneous agreements, understandings, inducements and conditions, express or implied, oral or written, of any nature whatsoever with respect to the subject matter hereof. Notwithstanding anything to the contrary contained in this Agreement, in the event of inconsistency between any provision in this Agreement and any provision in a Warrant Certificate, as it may from time to time be amended, the terms of this Agreement shall prevail.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2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IN WITNESS WHEREOF, the Parties have caused this Agreement to be duly executed as of the date first written above.</w:t>
      </w:r>
    </w:p>
    <w:p>
      <w:pPr>
        <w:spacing w:after="0" w:line="200" w:lineRule="exact"/>
        <w:rPr>
          <w:sz w:val="20"/>
          <w:szCs w:val="20"/>
          <w:color w:val="auto"/>
        </w:rPr>
      </w:pPr>
    </w:p>
    <w:p>
      <w:pPr>
        <w:spacing w:after="0" w:line="27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2"/>
          <w:szCs w:val="22"/>
          <w:color w:val="auto"/>
        </w:rPr>
        <w:t>ENOVIX CORPORATION</w:t>
      </w:r>
    </w:p>
    <w:p>
      <w:pPr>
        <w:spacing w:after="0" w:line="200" w:lineRule="exact"/>
        <w:rPr>
          <w:sz w:val="20"/>
          <w:szCs w:val="20"/>
          <w:color w:val="auto"/>
        </w:rPr>
      </w:pPr>
    </w:p>
    <w:p>
      <w:pPr>
        <w:spacing w:after="0" w:line="35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Name: Ryan Benton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-160020</wp:posOffset>
            </wp:positionV>
            <wp:extent cx="1714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i w:val="1"/>
          <w:iCs w:val="1"/>
          <w:color w:val="auto"/>
        </w:rPr>
        <w:t>Enovix Corporation – Signature Page to Warrant Agreement</w:t>
      </w:r>
    </w:p>
    <w:p>
      <w:pPr>
        <w:sectPr>
          <w:pgSz w:w="11900" w:h="16838" w:orient="portrait"/>
          <w:cols w:equalWidth="0" w:num="1">
            <w:col w:w="11080"/>
          </w:cols>
          <w:pgMar w:left="320" w:top="126"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COMPUTERSHARE INC., and</w:t>
      </w:r>
    </w:p>
    <w:p>
      <w:pPr>
        <w:ind w:left="4560"/>
        <w:spacing w:after="0" w:line="204" w:lineRule="auto"/>
        <w:rPr>
          <w:sz w:val="20"/>
          <w:szCs w:val="20"/>
          <w:color w:val="auto"/>
        </w:rPr>
      </w:pPr>
      <w:r>
        <w:rPr>
          <w:rFonts w:ascii="Times New Roman" w:cs="Times New Roman" w:eastAsia="Times New Roman" w:hAnsi="Times New Roman"/>
          <w:sz w:val="22"/>
          <w:szCs w:val="22"/>
          <w:color w:val="auto"/>
        </w:rPr>
        <w:t>COMPUTERSHARE TRUST</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COMPANY N.A.</w:t>
      </w:r>
    </w:p>
    <w:p>
      <w:pPr>
        <w:spacing w:after="0" w:line="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as Warrant Agent</w:t>
      </w:r>
    </w:p>
    <w:p>
      <w:pPr>
        <w:spacing w:after="0" w:line="27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On behalf of both entities</w:t>
      </w:r>
    </w:p>
    <w:p>
      <w:pPr>
        <w:spacing w:after="0" w:line="200" w:lineRule="exact"/>
        <w:rPr>
          <w:sz w:val="20"/>
          <w:szCs w:val="20"/>
          <w:color w:val="auto"/>
        </w:rPr>
      </w:pPr>
    </w:p>
    <w:p>
      <w:pPr>
        <w:spacing w:after="0" w:line="35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Name: Collin Ekeogu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-160020</wp:posOffset>
            </wp:positionV>
            <wp:extent cx="1714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22"/>
          <w:szCs w:val="22"/>
          <w:color w:val="auto"/>
        </w:rPr>
        <w:t>Title: Senior Manager,</w:t>
      </w:r>
    </w:p>
    <w:p>
      <w:pPr>
        <w:ind w:left="4940"/>
        <w:spacing w:after="0"/>
        <w:rPr>
          <w:sz w:val="20"/>
          <w:szCs w:val="20"/>
          <w:color w:val="auto"/>
        </w:rPr>
      </w:pPr>
      <w:r>
        <w:rPr>
          <w:rFonts w:ascii="Times New Roman" w:cs="Times New Roman" w:eastAsia="Times New Roman" w:hAnsi="Times New Roman"/>
          <w:sz w:val="22"/>
          <w:szCs w:val="22"/>
          <w:color w:val="auto"/>
        </w:rPr>
        <w:t>Corporate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1899"/>
        <w:spacing w:after="0"/>
        <w:rPr>
          <w:sz w:val="20"/>
          <w:szCs w:val="20"/>
          <w:color w:val="auto"/>
        </w:rPr>
      </w:pPr>
      <w:r>
        <w:rPr>
          <w:rFonts w:ascii="Times New Roman" w:cs="Times New Roman" w:eastAsia="Times New Roman" w:hAnsi="Times New Roman"/>
          <w:sz w:val="22"/>
          <w:szCs w:val="22"/>
          <w:i w:val="1"/>
          <w:iCs w:val="1"/>
          <w:color w:val="auto"/>
        </w:rPr>
        <w:t>Enovix Corporation – Signature Page to Warrant Agreement</w:t>
      </w:r>
    </w:p>
    <w:p>
      <w:pPr>
        <w:sectPr>
          <w:pgSz w:w="11900" w:h="16838" w:orient="portrait"/>
          <w:cols w:equalWidth="0" w:num="1">
            <w:col w:w="10139"/>
          </w:cols>
          <w:pgMar w:left="320" w:top="126"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WARRANT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[Global Securities Legend]</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UNLESS THIS GLOBAL WARRANT IS PRESENTED BY AN AUTHORIZED REPRESENTATIVE OF THE DEPOSITORY TRUST COMPANY, A NEW YORK CORPORATION (“</w:t>
      </w:r>
      <w:r>
        <w:rPr>
          <w:rFonts w:ascii="Times New Roman" w:cs="Times New Roman" w:eastAsia="Times New Roman" w:hAnsi="Times New Roman"/>
          <w:sz w:val="22"/>
          <w:szCs w:val="22"/>
          <w:u w:val="single" w:color="auto"/>
          <w:color w:val="auto"/>
        </w:rPr>
        <w:t>DTC</w:t>
      </w:r>
      <w:r>
        <w:rPr>
          <w:rFonts w:ascii="Times New Roman" w:cs="Times New Roman" w:eastAsia="Times New Roman" w:hAnsi="Times New Roman"/>
          <w:sz w:val="22"/>
          <w:szCs w:val="22"/>
          <w:color w:val="auto"/>
        </w:rPr>
        <w:t>”),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TRANSFERS OF THIS GLOBAL WARRANT SHALL BE LIMITED TO TRANSFERS IN WHOLE, BUT NOT IN PART, TO NOMINEES OF DTC OR TO A SUCCESSOR THEREOF OR SUCH SUCCESSOR’S NOMINEE AND TRANSFERS OF PORTIONS OF THIS GLOBAL SECURITY SHALL BE LIMITED TO TRANSFERS MADE IN ACCORDANCE WITH THE RESTRICTIONS SET FORTH IN THE WARRANT AGREEMENT REFERRED TO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2"/>
          <w:szCs w:val="22"/>
          <w:color w:val="auto"/>
        </w:rPr>
        <w:t>No. [ ]</w:t>
      </w:r>
      <w:r>
        <w:rPr>
          <w:sz w:val="20"/>
          <w:szCs w:val="20"/>
          <w:color w:val="auto"/>
        </w:rPr>
        <w:tab/>
      </w:r>
      <w:r>
        <w:rPr>
          <w:rFonts w:ascii="Times New Roman" w:cs="Times New Roman" w:eastAsia="Times New Roman" w:hAnsi="Times New Roman"/>
          <w:sz w:val="21"/>
          <w:szCs w:val="21"/>
          <w:color w:val="auto"/>
        </w:rPr>
        <w:t>Certificate for [ ] Warrants</w:t>
      </w:r>
    </w:p>
    <w:p>
      <w:pPr>
        <w:spacing w:after="0" w:line="2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WARRANTS TO PURCHASE SHARES OF COMMON STOCK OF</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ENOVIX CORPORATION</w:t>
      </w:r>
    </w:p>
    <w:p>
      <w:pPr>
        <w:spacing w:after="0" w:line="20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THIS CERTIFIES THAT [ ], or its registered assigns, is the registered holder of the number of Warrants set forth above (the “</w:t>
      </w:r>
      <w:r>
        <w:rPr>
          <w:rFonts w:ascii="Times New Roman" w:cs="Times New Roman" w:eastAsia="Times New Roman" w:hAnsi="Times New Roman"/>
          <w:sz w:val="22"/>
          <w:szCs w:val="22"/>
          <w:u w:val="single" w:color="auto"/>
          <w:color w:val="auto"/>
        </w:rPr>
        <w:t>Warrants</w:t>
      </w:r>
      <w:r>
        <w:rPr>
          <w:rFonts w:ascii="Times New Roman" w:cs="Times New Roman" w:eastAsia="Times New Roman" w:hAnsi="Times New Roman"/>
          <w:sz w:val="22"/>
          <w:szCs w:val="22"/>
          <w:color w:val="auto"/>
        </w:rPr>
        <w:t>”). Each Warrant entitles the holder thereof (the “</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at its option and subject to the provisions contained herein and in the Warrant Agreement referred to below, to purchase from Enovix Corporation, a corporation organized under the laws of the State of Delaware (including any successor thereto,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 number of shares of common stock, par value of $0.0001 per share, of the Company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equal to the Warrant Exercise Rate (which is initially one (1) at an exercise price of $8.75 per Warrant (the “</w:t>
      </w:r>
      <w:r>
        <w:rPr>
          <w:rFonts w:ascii="Times New Roman" w:cs="Times New Roman" w:eastAsia="Times New Roman" w:hAnsi="Times New Roman"/>
          <w:sz w:val="22"/>
          <w:szCs w:val="22"/>
          <w:u w:val="single" w:color="auto"/>
          <w:color w:val="auto"/>
        </w:rPr>
        <w:t>Warrant Exercise Price</w:t>
      </w:r>
      <w:r>
        <w:rPr>
          <w:rFonts w:ascii="Times New Roman" w:cs="Times New Roman" w:eastAsia="Times New Roman" w:hAnsi="Times New Roman"/>
          <w:sz w:val="22"/>
          <w:szCs w:val="22"/>
          <w:color w:val="auto"/>
        </w:rPr>
        <w:t>”), payable in cash as described in the Warrant Agreement. This Warrant Certificate shall terminate and become void as of the earlier of (x) the Close of Business, on the Expiration Date or (y) upon the exercise hereof as to all the shares of Common Stock subject hereto. The number of shares issuable upon exercise of the Warrants shall be subject to adjustment from time to time as set forth in the Warrant Agreement.</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Warrant Certificate is issued under and in accordance with a Warrant Agreement, dated as of July 21, 2025 (the “</w:t>
      </w:r>
      <w:r>
        <w:rPr>
          <w:rFonts w:ascii="Times New Roman" w:cs="Times New Roman" w:eastAsia="Times New Roman" w:hAnsi="Times New Roman"/>
          <w:sz w:val="22"/>
          <w:szCs w:val="22"/>
          <w:u w:val="single" w:color="auto"/>
          <w:color w:val="auto"/>
        </w:rPr>
        <w:t>Warrant Agreement</w:t>
      </w:r>
      <w:r>
        <w:rPr>
          <w:rFonts w:ascii="Times New Roman" w:cs="Times New Roman" w:eastAsia="Times New Roman" w:hAnsi="Times New Roman"/>
          <w:sz w:val="22"/>
          <w:szCs w:val="22"/>
          <w:color w:val="auto"/>
        </w:rPr>
        <w:t>”), between the Company and Computershare Trust Company N.A. (the “</w:t>
      </w:r>
      <w:r>
        <w:rPr>
          <w:rFonts w:ascii="Times New Roman" w:cs="Times New Roman" w:eastAsia="Times New Roman" w:hAnsi="Times New Roman"/>
          <w:sz w:val="22"/>
          <w:szCs w:val="22"/>
          <w:u w:val="single" w:color="auto"/>
          <w:color w:val="auto"/>
        </w:rPr>
        <w:t>Warrant Agent</w:t>
      </w:r>
      <w:r>
        <w:rPr>
          <w:rFonts w:ascii="Times New Roman" w:cs="Times New Roman" w:eastAsia="Times New Roman" w:hAnsi="Times New Roman"/>
          <w:sz w:val="22"/>
          <w:szCs w:val="22"/>
          <w:color w:val="auto"/>
        </w:rPr>
        <w:t>,” which term includes any successor Warrant Agent under the Warrant Agreement), and is subject to the terms and provisions contained in the Warrant Agreement, to all of which terms and provisions the Holder of this Warrant Certificate consents by acceptance hereof. The Warrant Agreement is hereby incorporated herein by reference and made a part hereof. Reference is hereby made to the Warrant Agreement for a full statement of the respective rights, limitations of rights, duties and obligations of the Company, the Warrant Agent and the Holders of the Warrants. In the event of an inconsistency between the terms of this Warrant Certificate and the Warrant Agreement, the terms of the Warrant Agreement shall prevail. The Company shall amend any provisions of the Warrant Certificate in compliance with Section 4.06 of the Warrant Agreement.</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Capitalized terms used but not defined herein shall have the meanings ascribed thereto in the Warrant Agreement. A copy of the Warrant Agreement may be obtained for inspection by the Holder hereof upon written request to the Warrant Agent, 150 Royall Street, Suite 101, Canton, MA 02021.</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Subject to the terms of the Warrant Agreement, the Warrants may be exercised in whole or in part prior to 5:00 p.m., New York City time, on any Business Day (each, an “</w:t>
      </w:r>
      <w:r>
        <w:rPr>
          <w:rFonts w:ascii="Times New Roman" w:cs="Times New Roman" w:eastAsia="Times New Roman" w:hAnsi="Times New Roman"/>
          <w:sz w:val="22"/>
          <w:szCs w:val="22"/>
          <w:u w:val="single" w:color="auto"/>
          <w:color w:val="auto"/>
        </w:rPr>
        <w:t>Exercise Date</w:t>
      </w:r>
      <w:r>
        <w:rPr>
          <w:rFonts w:ascii="Times New Roman" w:cs="Times New Roman" w:eastAsia="Times New Roman" w:hAnsi="Times New Roman"/>
          <w:sz w:val="22"/>
          <w:szCs w:val="22"/>
          <w:color w:val="auto"/>
        </w:rPr>
        <w:t xml:space="preserve">”), in accordance with Section 3.04 of the Warrant Agreement;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no Warrant shall be exercisable after the Close of Business on the Expiration Date, as it may be adjusted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accordance with the Warrant Agreement.</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If the date specified as the Exercise Date is not a Business Day, the Warrants will be deemed to be received and exercised on the next succeeding Business Day. If a notice of Exercise of Warrants is received or deemed to be received after the Close of Business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Expiration Date, the exercise thereof will be null and void and any funds delivered to the Warrant Agent will be returned to the Holder as soon as practicable. In no event will interest accrue on funds deposited with the Warrant Agent in respect of an exercise or attempted exercise of Warrants. Any otherwise valid exercise of Warrants submitted after any applicable deadline for exercise may, in the sole and absolute discretion of the Company, be accepted and honored. The Company’s decision with respect to any such exercise shall be determinative.</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Notwithstanding the foregoing, holders of Warrants will be able to exercise their Warrants only if the Common Stock Shelf Registration Statement relating to the Warrant Shares is effective and not subject to suspension pursuant to the Warrant Agreement and such securities are qualified for sale or exempt from qualification under the applicable securities laws of any relevant states or other jurisdictions;</w:t>
      </w:r>
    </w:p>
    <w:p>
      <w:pPr>
        <w:spacing w:after="0" w:line="17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Upon any partial exercise of the Warrants, there shall be countersigned and issued to the Holder hereof a new Warrant Certificate representing those Warrants which were not exercised. This Warrant Certificate may be exchanged at the office of the Warrant Agent by presenting this Warrant Certificate properly endorsed with a request to exchange this Warrant Certificate for other Warrant Certificates evidencing an equal number of Warrants. No fractional Warrant Shares will be issued upon the exercise of the Warrants. If any fraction of a Warrant Share would be issuable upon the exercise of Warrants, the Company shall round down the total number of shares of Common Stock to be issued to the relevant Holder to the nearest Whole Number.</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All Warrant Shares shall, upon such issue, be duly and validly issued and fully paid and non-assessable.</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holder in whose name the Warrant Certificate is registered may be deemed and treated by the Company and the Warrant Agent as the absolute owner of the Warrant Certificate for all purposes whatsoever and neither the Company nor the Warrant Agent shall be affected by notice to the contrary.</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Holders of Warrants do not have any rights as a stockholder with respect to the shares of Common Stock issuable upon exercise of the warrants prior to the time such warrants are validly exercised in accordance with all the terms and conditions of this Warrant Agreement, and the Warrant Exercise Price is paid.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2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This Warrant Certificate shall not be valid or obligatory for any purpose until it shall have been countersigned by the Warrant Agent.</w:t>
      </w:r>
    </w:p>
    <w:p>
      <w:pPr>
        <w:spacing w:after="0" w:line="200" w:lineRule="exact"/>
        <w:rPr>
          <w:sz w:val="20"/>
          <w:szCs w:val="20"/>
          <w:color w:val="auto"/>
        </w:rPr>
      </w:pPr>
    </w:p>
    <w:p>
      <w:pPr>
        <w:spacing w:after="0" w:line="2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ENOVIX CORPORATION</w:t>
      </w:r>
    </w:p>
    <w:p>
      <w:pPr>
        <w:spacing w:after="0" w:line="200" w:lineRule="exact"/>
        <w:rPr>
          <w:sz w:val="20"/>
          <w:szCs w:val="20"/>
          <w:color w:val="auto"/>
        </w:rPr>
      </w:pPr>
    </w:p>
    <w:p>
      <w:pPr>
        <w:spacing w:after="0" w:line="35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Name: Ryan Benton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-160020</wp:posOffset>
            </wp:positionV>
            <wp:extent cx="1714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July 21,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Countersigned:</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COMPUTERSHARE INC., and COMPUTERSHARE TRUST</w:t>
      </w:r>
    </w:p>
    <w:p>
      <w:pPr>
        <w:ind w:left="20"/>
        <w:spacing w:after="0"/>
        <w:rPr>
          <w:sz w:val="20"/>
          <w:szCs w:val="20"/>
          <w:color w:val="auto"/>
        </w:rPr>
      </w:pPr>
      <w:r>
        <w:rPr>
          <w:rFonts w:ascii="Times New Roman" w:cs="Times New Roman" w:eastAsia="Times New Roman" w:hAnsi="Times New Roman"/>
          <w:sz w:val="22"/>
          <w:szCs w:val="22"/>
          <w:color w:val="auto"/>
        </w:rPr>
        <w:t>COMPANY N.A.</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as Warrant Agent</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On behalf of both entities</w:t>
      </w: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-160020</wp:posOffset>
            </wp:positionV>
            <wp:extent cx="33432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2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b w:val="1"/>
          <w:bCs w:val="1"/>
          <w:color w:val="auto"/>
        </w:rPr>
        <w:t>FORM OF ELECTION TO PURCHASE WARRANT SHARES</w:t>
      </w:r>
    </w:p>
    <w:p>
      <w:pPr>
        <w:spacing w:after="0" w:line="22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(to be executed only upon exercise of Warrants)</w:t>
      </w:r>
    </w:p>
    <w:p>
      <w:pPr>
        <w:spacing w:after="0" w:line="22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ENOVIX CORPORATION</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The undersigned hereby irrevocably elects to exercise the number of Warrants set forth below, each of which entitles the holder to purchase a number of shares of Common Stock, par value $0.0001 per share, of Enovix Corporation equal to the Warrant Exercise Rate, at an exercise price of $8.75 per Warrant (the “</w:t>
      </w:r>
      <w:r>
        <w:rPr>
          <w:rFonts w:ascii="Times New Roman" w:cs="Times New Roman" w:eastAsia="Times New Roman" w:hAnsi="Times New Roman"/>
          <w:sz w:val="22"/>
          <w:szCs w:val="22"/>
          <w:u w:val="single" w:color="auto"/>
          <w:color w:val="auto"/>
        </w:rPr>
        <w:t>Warrant Exercise Price</w:t>
      </w:r>
      <w:r>
        <w:rPr>
          <w:rFonts w:ascii="Times New Roman" w:cs="Times New Roman" w:eastAsia="Times New Roman" w:hAnsi="Times New Roman"/>
          <w:sz w:val="22"/>
          <w:szCs w:val="22"/>
          <w:color w:val="auto"/>
        </w:rPr>
        <w:t>”), payable in cash on the terms and conditions specified in the Warrant Certificate and the Warrant Agreement therein referred to, surrenders all right, title and interest in the number of Warrants exercised hereby to Enovix Corporation and directs that the shares of Common Stock deliverable upon the exercise of such Warrants, and interests in any Global Warrant or Definitive Warrant representing unexercised Warrants, be registered or placed in the name and at the address specified below and delivered thereto. If other than the registered holder of the Warrants, the undersigned must pay all transfer taxes, assessments or similar governmental charges in connection with any exercise of such Warrants. Capitalized terms used but not defined herein shall have the meanings ascribed thereto in the Warrant Agreement.</w:t>
      </w:r>
    </w:p>
    <w:p>
      <w:pPr>
        <w:spacing w:after="0" w:line="191" w:lineRule="exact"/>
        <w:rPr>
          <w:sz w:val="20"/>
          <w:szCs w:val="20"/>
          <w:color w:val="auto"/>
        </w:rPr>
      </w:pPr>
    </w:p>
    <w:p>
      <w:pPr>
        <w:ind w:left="440" w:hanging="432"/>
        <w:spacing w:after="0"/>
        <w:tabs>
          <w:tab w:leader="none" w:pos="4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Warrants exercised hereby: _____________</w:t>
      </w:r>
    </w:p>
    <w:p>
      <w:pPr>
        <w:spacing w:after="0" w:line="233" w:lineRule="exact"/>
        <w:rPr>
          <w:rFonts w:ascii="Times New Roman" w:cs="Times New Roman" w:eastAsia="Times New Roman" w:hAnsi="Times New Roman"/>
          <w:sz w:val="22"/>
          <w:szCs w:val="22"/>
          <w:color w:val="auto"/>
        </w:rPr>
      </w:pPr>
    </w:p>
    <w:p>
      <w:pPr>
        <w:ind w:left="420" w:hanging="412"/>
        <w:spacing w:after="0"/>
        <w:tabs>
          <w:tab w:leader="none" w:pos="4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Warrant Exercise Price: $8.75</w:t>
      </w:r>
    </w:p>
    <w:p>
      <w:pPr>
        <w:spacing w:after="0" w:line="219" w:lineRule="exact"/>
        <w:rPr>
          <w:rFonts w:ascii="Times New Roman" w:cs="Times New Roman" w:eastAsia="Times New Roman" w:hAnsi="Times New Roman"/>
          <w:sz w:val="22"/>
          <w:szCs w:val="22"/>
          <w:color w:val="auto"/>
        </w:rPr>
      </w:pPr>
    </w:p>
    <w:p>
      <w:pPr>
        <w:ind w:left="420" w:hanging="412"/>
        <w:spacing w:after="0"/>
        <w:tabs>
          <w:tab w:leader="none" w:pos="4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Warrant Exercise Price in respect of number of Warrants exercised hereby: $_____________ (= A x B)</w:t>
      </w:r>
    </w:p>
    <w:p>
      <w:pPr>
        <w:spacing w:after="0" w:line="219" w:lineRule="exact"/>
        <w:rPr>
          <w:rFonts w:ascii="Times New Roman" w:cs="Times New Roman" w:eastAsia="Times New Roman" w:hAnsi="Times New Roman"/>
          <w:sz w:val="22"/>
          <w:szCs w:val="22"/>
          <w:color w:val="auto"/>
        </w:rPr>
      </w:pPr>
    </w:p>
    <w:p>
      <w:pPr>
        <w:spacing w:after="0"/>
        <w:tabs>
          <w:tab w:leader="none" w:pos="0" w:val="left"/>
        </w:tabs>
        <w:numPr>
          <w:ilvl w:val="0"/>
          <w:numId w:val="41"/>
        </w:numPr>
        <w:rPr>
          <w:rFonts w:ascii="Times New Roman" w:cs="Times New Roman" w:eastAsia="Times New Roman" w:hAnsi="Times New Roman"/>
          <w:sz w:val="22"/>
          <w:szCs w:val="22"/>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 _____________</w:t>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(Name of Owner)</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(Signature of Owner)</w:t>
      </w:r>
      <w:r>
        <w:rPr>
          <w:rFonts w:ascii="Times New Roman" w:cs="Times New Roman" w:eastAsia="Times New Roman" w:hAnsi="Times New Roman"/>
          <w:sz w:val="28"/>
          <w:szCs w:val="2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-203835</wp:posOffset>
            </wp:positionV>
            <wp:extent cx="3566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-160020</wp:posOffset>
            </wp:positionV>
            <wp:extent cx="3566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-160020</wp:posOffset>
            </wp:positionV>
            <wp:extent cx="3566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Securities to be issued 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held in book-entry form through the Depositary: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Depositary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2631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303" w:lineRule="exact"/>
        <w:rPr>
          <w:sz w:val="20"/>
          <w:szCs w:val="20"/>
          <w:color w:val="auto"/>
        </w:rPr>
      </w:pPr>
    </w:p>
    <w:p>
      <w:pPr>
        <w:ind w:left="340" w:right="640" w:hanging="332"/>
        <w:spacing w:after="0" w:line="229" w:lineRule="auto"/>
        <w:tabs>
          <w:tab w:leader="none" w:pos="251"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signature must correspond with the name as written upon the face of the within Warrant Certificate in every particular, without alteration or enlargement or any change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2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of Agent Member: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in definitive or uncertificated form:</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Social security or identifying number:</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Street Address: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City, State and Zip Code:</w:t>
      </w:r>
    </w:p>
    <w:p>
      <w:pPr>
        <w:spacing w:after="0" w:line="22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u w:val="single" w:color="auto"/>
          <w:color w:val="auto"/>
        </w:rPr>
        <w:t>Any unexercised Warrants evidenced by the exercising Holder’s interest in the Global Warrant or Definitive Warrant, as the case may be, to be issued to: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in book-entry form through the Depositary: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Depositary Account Number: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of Agent Member: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in definitive form:</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Social security or identifying number: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Street Address: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City, State and Zip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120"/>
          </w:cols>
          <w:pgMar w:left="320" w:top="126"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FORM OF WARRANT TRANSFER</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For value received, the undersigned hereby sells, assigns and transfers unto the right to purchase [ ] Warrant Shares representing shares of Common Stock, par value $0.0001 per share, of Enovix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pursuant to the attached Warrant Certificate and does hereby irrevocably constitute and appoint attorney to transfer the Warrant, or such portion as is transferred hereby, on the books of the Company with full power of substitution in the premises. The undersigned requests said attorney to issue to the transferee a Warrant Certificate evidencing such transfer and to issue to the undersigned a new Warrant Certificate evidencing the right to purchase Warrant Shares for the balance not so transferred, if any.</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 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Name in which new Warrant(s) should be registered:</w:t>
      </w: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3566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3566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of Owner)</w:t>
      </w:r>
      <w:r>
        <w:rPr>
          <w:rFonts w:ascii="Times New Roman" w:cs="Times New Roman" w:eastAsia="Times New Roman" w:hAnsi="Times New Roman"/>
          <w:sz w:val="28"/>
          <w:szCs w:val="2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-203835</wp:posOffset>
            </wp:positionV>
            <wp:extent cx="3566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-160020</wp:posOffset>
            </wp:positionV>
            <wp:extent cx="3566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3566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Medallion Guarantee by:</w:t>
      </w:r>
    </w:p>
    <w:p>
      <w:pPr>
        <w:spacing w:after="0" w:line="1966" w:lineRule="exact"/>
        <w:rPr>
          <w:sz w:val="20"/>
          <w:szCs w:val="20"/>
          <w:color w:val="auto"/>
        </w:rPr>
      </w:pPr>
    </w:p>
    <w:p>
      <w:pPr>
        <w:sectPr>
          <w:pgSz w:w="11900" w:h="16838" w:orient="portrait"/>
          <w:cols w:equalWidth="0" w:num="2">
            <w:col w:w="4920" w:space="720"/>
            <w:col w:w="5600"/>
          </w:cols>
          <w:pgMar w:left="320" w:top="126" w:right="339" w:bottom="1440" w:gutter="0" w:footer="0" w:header="0"/>
          <w:type w:val="continuous"/>
        </w:sect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(social security or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662305</wp:posOffset>
            </wp:positionV>
            <wp:extent cx="22631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63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3566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40" w:right="640" w:hanging="332"/>
        <w:spacing w:after="0" w:line="229" w:lineRule="auto"/>
        <w:tabs>
          <w:tab w:leader="none" w:pos="251"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signature must correspond with the name as written upon the face of the within Warrant Certificate in every particular, without alteration or enlargement or any change whatsoever, and must be medallion guaranteed by an eligible guarantor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26"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320" w:firstLine="2254"/>
        <w:spacing w:after="0" w:line="429" w:lineRule="auto"/>
        <w:rPr>
          <w:sz w:val="20"/>
          <w:szCs w:val="20"/>
          <w:color w:val="auto"/>
        </w:rPr>
      </w:pPr>
      <w:r>
        <w:rPr>
          <w:rFonts w:ascii="Times New Roman" w:cs="Times New Roman" w:eastAsia="Times New Roman" w:hAnsi="Times New Roman"/>
          <w:sz w:val="22"/>
          <w:szCs w:val="22"/>
          <w:color w:val="auto"/>
        </w:rPr>
        <w:t>SCHEDULE OF INCREASES OR DECREASES IN GLOBAL SECURITY</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22"/>
          <w:szCs w:val="22"/>
          <w:color w:val="auto"/>
        </w:rPr>
        <w:t xml:space="preserve"> The initial number of Warrants represented by the Global Warrants is [ ]. The following increases or decreases in this Global Security have been made: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21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Decrease in</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Increase in</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in this</w:t>
            </w:r>
          </w:p>
        </w:tc>
        <w:tc>
          <w:tcPr>
            <w:tcW w:w="2020" w:type="dxa"/>
            <w:vAlign w:val="bottom"/>
          </w:tcPr>
          <w:p>
            <w:pPr>
              <w:spacing w:after="0"/>
              <w:rPr>
                <w:sz w:val="18"/>
                <w:szCs w:val="18"/>
                <w:color w:val="auto"/>
              </w:rPr>
            </w:pPr>
          </w:p>
        </w:tc>
      </w:tr>
      <w:tr>
        <w:trPr>
          <w:trHeight w:val="216"/>
        </w:trPr>
        <w:tc>
          <w:tcPr>
            <w:tcW w:w="18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21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number of</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Global Warrant</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w:t>
            </w:r>
          </w:p>
        </w:tc>
      </w:tr>
      <w:tr>
        <w:trPr>
          <w:trHeight w:val="216"/>
        </w:trPr>
        <w:tc>
          <w:tcPr>
            <w:tcW w:w="18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1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Warrants in this</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in this</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Certificate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authorized</w:t>
            </w:r>
          </w:p>
        </w:tc>
      </w:tr>
      <w:tr>
        <w:trPr>
          <w:trHeight w:val="216"/>
        </w:trPr>
        <w:tc>
          <w:tcPr>
            <w:tcW w:w="18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or</w:t>
            </w:r>
          </w:p>
        </w:tc>
        <w:tc>
          <w:tcPr>
            <w:tcW w:w="21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Global Warrant</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Global Warrant</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following such</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officer of</w:t>
            </w:r>
          </w:p>
        </w:tc>
      </w:tr>
      <w:tr>
        <w:trPr>
          <w:trHeight w:val="238"/>
        </w:trPr>
        <w:tc>
          <w:tcPr>
            <w:tcW w:w="18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Exchange</w:t>
            </w:r>
          </w:p>
        </w:tc>
        <w:tc>
          <w:tcPr>
            <w:tcW w:w="21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Certificate</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Certificate</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change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 Agent</w:t>
            </w:r>
          </w:p>
        </w:tc>
      </w:tr>
      <w:tr>
        <w:trPr>
          <w:trHeight w:val="27"/>
        </w:trPr>
        <w:tc>
          <w:tcPr>
            <w:tcW w:w="18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1089025</wp:posOffset>
            </wp:positionV>
            <wp:extent cx="22631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40" w:hanging="232"/>
        <w:spacing w:after="0"/>
        <w:tabs>
          <w:tab w:leader="none" w:pos="240"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included only if Warrants are in global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8</w:t>
      </w:r>
    </w:p>
    <w:sectPr>
      <w:pgSz w:w="11900" w:h="16838" w:orient="portrait"/>
      <w:cols w:equalWidth="0" w:num="1">
        <w:col w:w="10300"/>
      </w:cols>
      <w:pgMar w:left="320" w:top="126"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lowerLetter"/>
      <w:start w:val="1"/>
    </w:lvl>
  </w:abstractNum>
  <w:abstractNum w:abstractNumId="1">
    <w:nsid w:val="2D1D5AE9"/>
    <w:multiLevelType w:val="hybridMultilevel"/>
    <w:lvl w:ilvl="0">
      <w:lvlJc w:val="left"/>
      <w:lvlText w:val="(%1)"/>
      <w:numFmt w:val="lowerLetter"/>
      <w:start w:val="2"/>
    </w:lvl>
  </w:abstractNum>
  <w:abstractNum w:abstractNumId="2">
    <w:nsid w:val="6763845E"/>
    <w:multiLevelType w:val="hybridMultilevel"/>
    <w:lvl w:ilvl="0">
      <w:lvlJc w:val="left"/>
      <w:lvlText w:val="(%1)"/>
      <w:numFmt w:val="lowerLetter"/>
      <w:start w:val="1"/>
    </w:lvl>
  </w:abstractNum>
  <w:abstractNum w:abstractNumId="3">
    <w:nsid w:val="75A2A8D4"/>
    <w:multiLevelType w:val="hybridMultilevel"/>
    <w:lvl w:ilvl="0">
      <w:lvlJc w:val="left"/>
      <w:lvlText w:val="%1"/>
      <w:numFmt w:val="decimal"/>
      <w:start w:val="1"/>
    </w:lvl>
    <w:lvl w:ilvl="1">
      <w:lvlJc w:val="left"/>
      <w:lvlText w:val="(%2)"/>
      <w:numFmt w:val="lowerRoman"/>
      <w:start w:val="1"/>
    </w:lvl>
  </w:abstractNum>
  <w:abstractNum w:abstractNumId="4">
    <w:nsid w:val="8EDBDAB"/>
    <w:multiLevelType w:val="hybridMultilevel"/>
    <w:lvl w:ilvl="0">
      <w:lvlJc w:val="left"/>
      <w:lvlText w:val="(%1)"/>
      <w:numFmt w:val="decimal"/>
      <w:start w:val="1"/>
    </w:lvl>
    <w:lvl w:ilvl="1">
      <w:lvlJc w:val="left"/>
      <w:lvlText w:val="(%2)"/>
      <w:numFmt w:val="lowerRoman"/>
      <w:start w:val="2"/>
    </w:lvl>
  </w:abstractNum>
  <w:abstractNum w:abstractNumId="5">
    <w:nsid w:val="79838CB2"/>
    <w:multiLevelType w:val="hybridMultilevel"/>
    <w:lvl w:ilvl="0">
      <w:lvlJc w:val="left"/>
      <w:lvlText w:val="(%1)"/>
      <w:numFmt w:val="lowerLetter"/>
      <w:start w:val="2"/>
    </w:lvl>
    <w:lvl w:ilvl="1">
      <w:lvlJc w:val="left"/>
      <w:lvlText w:val="(%2)"/>
      <w:numFmt w:val="lowerRoman"/>
      <w:start w:val="1"/>
    </w:lvl>
  </w:abstractNum>
  <w:abstractNum w:abstractNumId="6">
    <w:nsid w:val="4353D0CD"/>
    <w:multiLevelType w:val="hybridMultilevel"/>
    <w:lvl w:ilvl="0">
      <w:lvlJc w:val="left"/>
      <w:lvlText w:val="(%1)"/>
      <w:numFmt w:val="lowerLetter"/>
      <w:start w:val="1"/>
    </w:lvl>
  </w:abstractNum>
  <w:abstractNum w:abstractNumId="7">
    <w:nsid w:val="B03E0C6"/>
    <w:multiLevelType w:val="hybridMultilevel"/>
    <w:lvl w:ilvl="0">
      <w:lvlJc w:val="left"/>
      <w:lvlText w:val="(%1)"/>
      <w:numFmt w:val="lowerLetter"/>
      <w:start w:val="3"/>
    </w:lvl>
  </w:abstractNum>
  <w:abstractNum w:abstractNumId="8">
    <w:nsid w:val="189A769B"/>
    <w:multiLevelType w:val="hybridMultilevel"/>
    <w:lvl w:ilvl="0">
      <w:lvlJc w:val="left"/>
      <w:lvlText w:val="(%1)"/>
      <w:numFmt w:val="lowerLetter"/>
      <w:start w:val="1"/>
    </w:lvl>
    <w:lvl w:ilvl="1">
      <w:lvlJc w:val="left"/>
      <w:lvlText w:val="(%2)"/>
      <w:numFmt w:val="lowerRoman"/>
      <w:start w:val="1"/>
    </w:lvl>
  </w:abstractNum>
  <w:abstractNum w:abstractNumId="9">
    <w:nsid w:val="54E49EB4"/>
    <w:multiLevelType w:val="hybridMultilevel"/>
    <w:lvl w:ilvl="0">
      <w:lvlJc w:val="left"/>
      <w:lvlText w:val="(%1)"/>
      <w:numFmt w:val="lowerLetter"/>
      <w:start w:val="2"/>
    </w:lvl>
    <w:lvl w:ilvl="1">
      <w:lvlJc w:val="left"/>
      <w:lvlText w:val="(%2)"/>
      <w:numFmt w:val="lowerRoman"/>
      <w:start w:val="1"/>
    </w:lvl>
  </w:abstractNum>
  <w:abstractNum w:abstractNumId="10">
    <w:nsid w:val="71F32454"/>
    <w:multiLevelType w:val="hybridMultilevel"/>
    <w:lvl w:ilvl="0">
      <w:lvlJc w:val="left"/>
      <w:lvlText w:val="(%1)"/>
      <w:numFmt w:val="lowerLetter"/>
      <w:start w:val="4"/>
    </w:lvl>
  </w:abstractNum>
  <w:abstractNum w:abstractNumId="11">
    <w:nsid w:val="2CA88611"/>
    <w:multiLevelType w:val="hybridMultilevel"/>
    <w:lvl w:ilvl="0">
      <w:lvlJc w:val="left"/>
      <w:lvlText w:val="%1"/>
      <w:numFmt w:val="lowerLetter"/>
      <w:start w:val="1"/>
    </w:lvl>
    <w:lvl w:ilvl="1">
      <w:lvlJc w:val="left"/>
      <w:lvlText w:val="(%2)"/>
      <w:numFmt w:val="lowerLetter"/>
      <w:start w:val="1"/>
    </w:lvl>
  </w:abstractNum>
  <w:abstractNum w:abstractNumId="12">
    <w:nsid w:val="836C40E"/>
    <w:multiLevelType w:val="hybridMultilevel"/>
    <w:lvl w:ilvl="0">
      <w:lvlJc w:val="left"/>
      <w:lvlText w:val="(%1)"/>
      <w:numFmt w:val="lowerLetter"/>
      <w:start w:val="35"/>
    </w:lvl>
    <w:lvl w:ilvl="1">
      <w:lvlJc w:val="left"/>
      <w:lvlText w:val="(%2)"/>
      <w:numFmt w:val="lowerLetter"/>
      <w:start w:val="2"/>
    </w:lvl>
  </w:abstractNum>
  <w:abstractNum w:abstractNumId="13">
    <w:nsid w:val="2901D82"/>
    <w:multiLevelType w:val="hybridMultilevel"/>
    <w:lvl w:ilvl="0">
      <w:lvlJc w:val="left"/>
      <w:lvlText w:val="(%1)"/>
      <w:numFmt w:val="lowerLetter"/>
      <w:start w:val="6"/>
    </w:lvl>
  </w:abstractNum>
  <w:abstractNum w:abstractNumId="14">
    <w:nsid w:val="3A95F874"/>
    <w:multiLevelType w:val="hybridMultilevel"/>
    <w:lvl w:ilvl="0">
      <w:lvlJc w:val="left"/>
      <w:lvlText w:val="(%1)"/>
      <w:numFmt w:val="lowerLetter"/>
      <w:start w:val="1"/>
    </w:lvl>
  </w:abstractNum>
  <w:abstractNum w:abstractNumId="15">
    <w:nsid w:val="8138641"/>
    <w:multiLevelType w:val="hybridMultilevel"/>
    <w:lvl w:ilvl="0">
      <w:lvlJc w:val="left"/>
      <w:lvlText w:val="(%1)"/>
      <w:numFmt w:val="lowerLetter"/>
      <w:start w:val="1"/>
    </w:lvl>
  </w:abstractNum>
  <w:abstractNum w:abstractNumId="16">
    <w:nsid w:val="1E7FF521"/>
    <w:multiLevelType w:val="hybridMultilevel"/>
    <w:lvl w:ilvl="0">
      <w:lvlJc w:val="left"/>
      <w:lvlText w:val="(%1)"/>
      <w:numFmt w:val="lowerLetter"/>
      <w:start w:val="3"/>
    </w:lvl>
  </w:abstractNum>
  <w:abstractNum w:abstractNumId="17">
    <w:nsid w:val="7C3DBD3D"/>
    <w:multiLevelType w:val="hybridMultilevel"/>
    <w:lvl w:ilvl="0">
      <w:lvlJc w:val="left"/>
      <w:lvlText w:val="(%1)"/>
      <w:numFmt w:val="lowerLetter"/>
      <w:start w:val="1"/>
    </w:lvl>
    <w:lvl w:ilvl="1">
      <w:lvlJc w:val="left"/>
      <w:lvlText w:val="(%2)"/>
      <w:numFmt w:val="lowerRoman"/>
      <w:start w:val="1"/>
    </w:lvl>
  </w:abstractNum>
  <w:abstractNum w:abstractNumId="18">
    <w:nsid w:val="737B8DDC"/>
    <w:multiLevelType w:val="hybridMultilevel"/>
    <w:lvl w:ilvl="0">
      <w:lvlJc w:val="left"/>
      <w:lvlText w:val="(%1)"/>
      <w:numFmt w:val="lowerLetter"/>
      <w:start w:val="2"/>
    </w:lvl>
  </w:abstractNum>
  <w:abstractNum w:abstractNumId="19">
    <w:nsid w:val="6CEAF087"/>
    <w:multiLevelType w:val="hybridMultilevel"/>
    <w:lvl w:ilvl="0">
      <w:lvlJc w:val="left"/>
      <w:lvlText w:val="(%1)"/>
      <w:numFmt w:val="lowerLetter"/>
      <w:start w:val="6"/>
    </w:lvl>
  </w:abstractNum>
  <w:abstractNum w:abstractNumId="20">
    <w:nsid w:val="22221A70"/>
    <w:multiLevelType w:val="hybridMultilevel"/>
    <w:lvl w:ilvl="0">
      <w:lvlJc w:val="left"/>
      <w:lvlText w:val="(%1)"/>
      <w:numFmt w:val="lowerLetter"/>
      <w:start w:val="1"/>
    </w:lvl>
  </w:abstractNum>
  <w:abstractNum w:abstractNumId="21">
    <w:nsid w:val="4516DDE9"/>
    <w:multiLevelType w:val="hybridMultilevel"/>
    <w:lvl w:ilvl="0">
      <w:lvlJc w:val="left"/>
      <w:lvlText w:val="(%1)"/>
      <w:numFmt w:val="lowerLetter"/>
      <w:start w:val="1"/>
    </w:lvl>
  </w:abstractNum>
  <w:abstractNum w:abstractNumId="22">
    <w:nsid w:val="3006C83E"/>
    <w:multiLevelType w:val="hybridMultilevel"/>
    <w:lvl w:ilvl="0">
      <w:lvlJc w:val="left"/>
      <w:lvlText w:val="(%1)"/>
      <w:numFmt w:val="lowerLetter"/>
      <w:start w:val="1"/>
    </w:lvl>
  </w:abstractNum>
  <w:abstractNum w:abstractNumId="23">
    <w:nsid w:val="614FD4A1"/>
    <w:multiLevelType w:val="hybridMultilevel"/>
    <w:lvl w:ilvl="0">
      <w:lvlJc w:val="left"/>
      <w:lvlText w:val="(%1)"/>
      <w:numFmt w:val="lowerLetter"/>
      <w:start w:val="2"/>
    </w:lvl>
  </w:abstractNum>
  <w:abstractNum w:abstractNumId="24">
    <w:nsid w:val="419AC241"/>
    <w:multiLevelType w:val="hybridMultilevel"/>
    <w:lvl w:ilvl="0">
      <w:lvlJc w:val="left"/>
      <w:lvlText w:val="(%1)"/>
      <w:numFmt w:val="lowerLetter"/>
      <w:start w:val="3"/>
    </w:lvl>
    <w:lvl w:ilvl="1">
      <w:lvlJc w:val="left"/>
      <w:lvlText w:val="(%2)"/>
      <w:numFmt w:val="decimal"/>
    </w:lvl>
    <w:lvl w:ilvl="2">
      <w:lvlJc w:val="left"/>
      <w:lvlText w:val="(%3)"/>
      <w:numFmt w:val="lowerLetter"/>
      <w:start w:val="9"/>
    </w:lvl>
  </w:abstractNum>
  <w:abstractNum w:abstractNumId="25">
    <w:nsid w:val="5577F8E1"/>
    <w:multiLevelType w:val="hybridMultilevel"/>
    <w:lvl w:ilvl="0">
      <w:lvlJc w:val="left"/>
      <w:lvlText w:val="(%1)"/>
      <w:numFmt w:val="decimal"/>
      <w:start w:val="3"/>
    </w:lvl>
  </w:abstractNum>
  <w:abstractNum w:abstractNumId="26">
    <w:nsid w:val="440BADFC"/>
    <w:multiLevelType w:val="hybridMultilevel"/>
    <w:lvl w:ilvl="0">
      <w:lvlJc w:val="left"/>
      <w:lvlText w:val="(%1)"/>
      <w:numFmt w:val="lowerRoman"/>
      <w:start w:val="2"/>
    </w:lvl>
  </w:abstractNum>
  <w:abstractNum w:abstractNumId="27">
    <w:nsid w:val="5072367"/>
    <w:multiLevelType w:val="hybridMultilevel"/>
    <w:lvl w:ilvl="0">
      <w:lvlJc w:val="left"/>
      <w:lvlText w:val="(%1)"/>
      <w:numFmt w:val="lowerLetter"/>
      <w:start w:val="4"/>
    </w:lvl>
  </w:abstractNum>
  <w:abstractNum w:abstractNumId="28">
    <w:nsid w:val="3804823E"/>
    <w:multiLevelType w:val="hybridMultilevel"/>
    <w:lvl w:ilvl="0">
      <w:lvlJc w:val="left"/>
      <w:lvlText w:val="(%1)"/>
      <w:numFmt w:val="lowerLetter"/>
      <w:start w:val="5"/>
    </w:lvl>
  </w:abstractNum>
  <w:abstractNum w:abstractNumId="29">
    <w:nsid w:val="77465F01"/>
    <w:multiLevelType w:val="hybridMultilevel"/>
    <w:lvl w:ilvl="0">
      <w:lvlJc w:val="left"/>
      <w:lvlText w:val="(%1)"/>
      <w:numFmt w:val="lowerLetter"/>
      <w:start w:val="1"/>
    </w:lvl>
  </w:abstractNum>
  <w:abstractNum w:abstractNumId="30">
    <w:nsid w:val="7724C67E"/>
    <w:multiLevelType w:val="hybridMultilevel"/>
    <w:lvl w:ilvl="0">
      <w:lvlJc w:val="left"/>
      <w:lvlText w:val="(%1)"/>
      <w:numFmt w:val="lowerLetter"/>
      <w:start w:val="2"/>
    </w:lvl>
  </w:abstractNum>
  <w:abstractNum w:abstractNumId="31">
    <w:nsid w:val="5C482A97"/>
    <w:multiLevelType w:val="hybridMultilevel"/>
    <w:lvl w:ilvl="0">
      <w:lvlJc w:val="left"/>
      <w:lvlText w:val="(%1)"/>
      <w:numFmt w:val="lowerLetter"/>
      <w:start w:val="1"/>
    </w:lvl>
    <w:lvl w:ilvl="1">
      <w:lvlJc w:val="left"/>
      <w:lvlText w:val="(%2)"/>
      <w:numFmt w:val="lowerRoman"/>
      <w:start w:val="1"/>
    </w:lvl>
  </w:abstractNum>
  <w:abstractNum w:abstractNumId="32">
    <w:nsid w:val="2463B9EA"/>
    <w:multiLevelType w:val="hybridMultilevel"/>
    <w:lvl w:ilvl="0">
      <w:lvlJc w:val="left"/>
      <w:lvlText w:val="(%1)"/>
      <w:numFmt w:val="lowerLetter"/>
      <w:start w:val="2"/>
    </w:lvl>
  </w:abstractNum>
  <w:abstractNum w:abstractNumId="33">
    <w:nsid w:val="5E884ADC"/>
    <w:multiLevelType w:val="hybridMultilevel"/>
    <w:lvl w:ilvl="0">
      <w:lvlJc w:val="left"/>
      <w:lvlText w:val="(%1)"/>
      <w:numFmt w:val="lowerLetter"/>
      <w:start w:val="3"/>
    </w:lvl>
  </w:abstractNum>
  <w:abstractNum w:abstractNumId="34">
    <w:nsid w:val="51EAD36B"/>
    <w:multiLevelType w:val="hybridMultilevel"/>
    <w:lvl w:ilvl="0">
      <w:lvlJc w:val="left"/>
      <w:lvlText w:val="(%1)"/>
      <w:numFmt w:val="lowerLetter"/>
      <w:start w:val="1"/>
    </w:lvl>
  </w:abstractNum>
  <w:abstractNum w:abstractNumId="35">
    <w:nsid w:val="2D517796"/>
    <w:multiLevelType w:val="hybridMultilevel"/>
    <w:lvl w:ilvl="0">
      <w:lvlJc w:val="left"/>
      <w:lvlText w:val="(%1)"/>
      <w:numFmt w:val="lowerLetter"/>
      <w:start w:val="2"/>
    </w:lvl>
  </w:abstractNum>
  <w:abstractNum w:abstractNumId="36">
    <w:nsid w:val="580BD78F"/>
    <w:multiLevelType w:val="hybridMultilevel"/>
    <w:lvl w:ilvl="0">
      <w:lvlJc w:val="left"/>
      <w:lvlText w:val="(%1)"/>
      <w:numFmt w:val="lowerLetter"/>
      <w:start w:val="1"/>
    </w:lvl>
  </w:abstractNum>
  <w:abstractNum w:abstractNumId="37">
    <w:nsid w:val="153EA438"/>
    <w:multiLevelType w:val="hybridMultilevel"/>
    <w:lvl w:ilvl="0">
      <w:lvlJc w:val="left"/>
      <w:lvlText w:val="(%1)"/>
      <w:numFmt w:val="lowerLetter"/>
      <w:start w:val="3"/>
    </w:lvl>
  </w:abstractNum>
  <w:abstractNum w:abstractNumId="38">
    <w:nsid w:val="3855585C"/>
    <w:multiLevelType w:val="hybridMultilevel"/>
    <w:lvl w:ilvl="0">
      <w:lvlJc w:val="left"/>
      <w:lvlText w:val="(%1)"/>
      <w:numFmt w:val="lowerLetter"/>
      <w:start w:val="1"/>
    </w:lvl>
  </w:abstractNum>
  <w:abstractNum w:abstractNumId="39">
    <w:nsid w:val="70A64E2A"/>
    <w:multiLevelType w:val="hybridMultilevel"/>
    <w:lvl w:ilvl="0">
      <w:lvlJc w:val="left"/>
      <w:lvlText w:val="(%1)"/>
      <w:numFmt w:val="lowerLetter"/>
      <w:start w:val="3"/>
    </w:lvl>
  </w:abstractNum>
  <w:abstractNum w:abstractNumId="40">
    <w:nsid w:val="6A2342EC"/>
    <w:multiLevelType w:val="hybridMultilevel"/>
    <w:lvl w:ilvl="0">
      <w:lvlJc w:val="left"/>
      <w:lvlText w:val="%1."/>
      <w:numFmt w:val="upperLetter"/>
      <w:start w:val="1"/>
    </w:lvl>
  </w:abstractNum>
  <w:abstractNum w:abstractNumId="41">
    <w:nsid w:val="2A487CB0"/>
    <w:multiLevelType w:val="hybridMultilevel"/>
    <w:lvl w:ilvl="0">
      <w:lvlJc w:val="left"/>
      <w:lvlText w:val="1"/>
      <w:numFmt w:val="bullet"/>
      <w:start w:val="1"/>
    </w:lvl>
  </w:abstractNum>
  <w:abstractNum w:abstractNumId="42">
    <w:nsid w:val="1D4ED43B"/>
    <w:multiLevelType w:val="hybridMultilevel"/>
    <w:lvl w:ilvl="0">
      <w:lvlJc w:val="left"/>
      <w:lvlText w:val="2"/>
      <w:numFmt w:val="bullet"/>
      <w:start w:val="1"/>
    </w:lvl>
  </w:abstractNum>
  <w:abstractNum w:abstractNumId="43">
    <w:nsid w:val="725A06FB"/>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2025-07-21T14:56:06Z</dcterms:created>
  <dcterms:modified xsi:type="dcterms:W3CDTF">2025-07-21T14:56:06Z</dcterms:modified>
</cp:coreProperties>
</file>