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57319.xml.htm"/>
      <w:bookmarkStart w:id="1" w:name="kswkform4_17863573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1258"/>
        <w:gridCol w:w="1652"/>
        <w:gridCol w:w="4795"/>
        <w:gridCol w:w="2500"/>
      </w:tblGrid>
      <w:tr>
        <w:trPr/>
        <w:tc>
          <w:tcPr>
            <w:tcW w:w="2910"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4795"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500"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2380"/>
            </w:tblGrid>
            <w:tr>
              <w:trPr/>
              <w:tc>
                <w:tcPr>
                  <w:tcW w:w="2380"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468"/>
                    <w:gridCol w:w="856"/>
                  </w:tblGrid>
                  <w:tr>
                    <w:trPr/>
                    <w:tc>
                      <w:tcPr>
                        <w:tcW w:w="146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56"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2324"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46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56"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2380"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1258" w:type="dxa"/>
            <w:tcBorders/>
            <w:vAlign w:val="center"/>
          </w:tcPr>
          <w:p>
            <w:pPr>
              <w:pStyle w:val="TableContents"/>
              <w:bidi w:val="0"/>
              <w:spacing w:before="0" w:after="283"/>
              <w:jc w:val="left"/>
              <w:rPr/>
            </w:pPr>
            <w:r>
              <w:rPr/>
              <w:drawing>
                <wp:inline distT="0" distB="0" distL="0" distR="0">
                  <wp:extent cx="720090" cy="360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720090" cy="360045"/>
                          </a:xfrm>
                          <a:prstGeom prst="rect">
                            <a:avLst/>
                          </a:prstGeom>
                        </pic:spPr>
                      </pic:pic>
                    </a:graphicData>
                  </a:graphic>
                </wp:inline>
              </w:drawing>
            </w:r>
          </w:p>
        </w:tc>
        <w:tc>
          <w:tcPr>
            <w:tcW w:w="165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4795" w:type="dxa"/>
            <w:vMerge w:val="continue"/>
            <w:tcBorders/>
            <w:vAlign w:val="center"/>
          </w:tcPr>
          <w:p>
            <w:pPr>
              <w:pStyle w:val="Normal"/>
              <w:bidi w:val="0"/>
              <w:jc w:val="left"/>
              <w:rPr/>
            </w:pPr>
            <w:r>
              <w:rPr/>
            </w:r>
          </w:p>
        </w:tc>
        <w:tc>
          <w:tcPr>
            <w:tcW w:w="2500" w:type="dxa"/>
            <w:vMerge w:val="continue"/>
            <w:tcBorders/>
          </w:tcPr>
          <w:p>
            <w:pPr>
              <w:pStyle w:val="Normal"/>
              <w:bidi w:val="0"/>
              <w:jc w:val="left"/>
              <w:rPr/>
            </w:pPr>
            <w:r>
              <w:rPr/>
            </w:r>
          </w:p>
        </w:tc>
      </w:tr>
      <w:tr>
        <w:trPr>
          <w:trHeight w:val="570" w:hRule="atLeast"/>
        </w:trPr>
        <w:tc>
          <w:tcPr>
            <w:tcW w:w="1258" w:type="dxa"/>
            <w:tcBorders/>
          </w:tcPr>
          <w:p>
            <w:pPr>
              <w:pStyle w:val="TableContents"/>
              <w:bidi w:val="0"/>
              <w:spacing w:before="0" w:after="283"/>
              <w:jc w:val="left"/>
              <w:rPr/>
            </w:pPr>
            <w:r>
              <w:rPr/>
              <w:drawing>
                <wp:inline distT="0" distB="0" distL="0" distR="0">
                  <wp:extent cx="720090" cy="3600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720090" cy="360045"/>
                          </a:xfrm>
                          <a:prstGeom prst="rect">
                            <a:avLst/>
                          </a:prstGeom>
                        </pic:spPr>
                      </pic:pic>
                    </a:graphicData>
                  </a:graphic>
                </wp:inline>
              </w:drawing>
            </w:r>
          </w:p>
        </w:tc>
        <w:tc>
          <w:tcPr>
            <w:tcW w:w="165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295"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7"/>
        <w:gridCol w:w="3529"/>
        <w:gridCol w:w="3099"/>
      </w:tblGrid>
      <w:tr>
        <w:trPr/>
        <w:tc>
          <w:tcPr>
            <w:tcW w:w="3577"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7"/>
            </w:tblGrid>
            <w:tr>
              <w:trPr/>
              <w:tc>
                <w:tcPr>
                  <w:tcW w:w="3457" w:type="dxa"/>
                  <w:tcBorders/>
                  <w:vAlign w:val="center"/>
                </w:tcPr>
                <w:p>
                  <w:pPr>
                    <w:pStyle w:val="TableContents"/>
                    <w:bidi w:val="0"/>
                    <w:spacing w:before="0" w:after="283"/>
                    <w:jc w:val="left"/>
                    <w:rPr/>
                  </w:pPr>
                  <w:hyperlink r:id="rId4">
                    <w:r>
                      <w:rPr>
                        <w:rStyle w:val="InternetLink"/>
                      </w:rPr>
                      <w:t>Vyvoda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2"/>
              <w:gridCol w:w="1152"/>
              <w:gridCol w:w="1153"/>
            </w:tblGrid>
            <w:tr>
              <w:trPr/>
              <w:tc>
                <w:tcPr>
                  <w:tcW w:w="115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7"/>
            </w:tblGrid>
            <w:tr>
              <w:trPr/>
              <w:tc>
                <w:tcPr>
                  <w:tcW w:w="345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ENOVIX CORPORATION</w:t>
                  </w:r>
                </w:p>
              </w:tc>
            </w:tr>
            <w:tr>
              <w:trPr/>
              <w:tc>
                <w:tcPr>
                  <w:tcW w:w="345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3501 WARREN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2"/>
              <w:gridCol w:w="1152"/>
              <w:gridCol w:w="1153"/>
            </w:tblGrid>
            <w:tr>
              <w:trPr/>
              <w:tc>
                <w:tcPr>
                  <w:tcW w:w="11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94583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2"/>
              <w:gridCol w:w="1152"/>
              <w:gridCol w:w="1153"/>
            </w:tblGrid>
            <w:tr>
              <w:trPr/>
              <w:tc>
                <w:tcPr>
                  <w:tcW w:w="115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29"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Enovix Corp</w:t>
              </w:r>
            </w:hyperlink>
            <w:r>
              <w:rPr/>
              <w:t xml:space="preserve"> [ </w:t>
            </w:r>
            <w:r>
              <w:rPr>
                <w:rFonts w:ascii="Times;serif" w:hAnsi="Times;serif"/>
                <w:color w:val="0000FF"/>
                <w:sz w:val="24"/>
                <w:shd w:fill="FFFFFF" w:val="clear"/>
              </w:rPr>
              <w:t>ENVX</w:t>
            </w:r>
            <w:r>
              <w:rPr/>
              <w:t xml:space="preserve"> ] </w:t>
              <w:br/>
            </w:r>
            <w:r>
              <w:rPr>
                <w:rFonts w:ascii="arial;helvetica;sans-serif" w:hAnsi="arial;helvetica;sans-serif"/>
                <w:sz w:val="20"/>
              </w:rPr>
              <w:t>Foreign Trading Symbol</w:t>
            </w:r>
          </w:p>
        </w:tc>
        <w:tc>
          <w:tcPr>
            <w:tcW w:w="3099"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6"/>
              <w:gridCol w:w="1043"/>
              <w:gridCol w:w="447"/>
              <w:gridCol w:w="1043"/>
            </w:tblGrid>
            <w:tr>
              <w:trPr/>
              <w:tc>
                <w:tcPr>
                  <w:tcW w:w="44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6"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720090" cy="3600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720090" cy="360045"/>
                                </a:xfrm>
                                <a:prstGeom prst="rect">
                                  <a:avLst/>
                                </a:prstGeom>
                              </pic:spPr>
                            </pic:pic>
                          </a:graphicData>
                        </a:graphic>
                      </wp:inline>
                    </w:drawing>
                  </w:r>
                </w:p>
              </w:tc>
              <w:tc>
                <w:tcPr>
                  <w:tcW w:w="10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79"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29"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7"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29"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9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6"/>
              <w:gridCol w:w="2533"/>
            </w:tblGrid>
            <w:tr>
              <w:trPr/>
              <w:tc>
                <w:tcPr>
                  <w:tcW w:w="446"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720090" cy="3600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720090" cy="360045"/>
                                </a:xfrm>
                                <a:prstGeom prst="rect">
                                  <a:avLst/>
                                </a:prstGeom>
                              </pic:spPr>
                            </pic:pic>
                          </a:graphicData>
                        </a:graphic>
                      </wp:inline>
                    </w:drawing>
                  </w:r>
                </w:p>
              </w:tc>
              <w:tc>
                <w:tcPr>
                  <w:tcW w:w="25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6"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1055"/>
        <w:gridCol w:w="449"/>
        <w:gridCol w:w="66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932,400</w:t>
            </w:r>
            <w:r>
              <w:rPr>
                <w:rFonts w:ascii="Times;serif" w:hAnsi="Times;serif"/>
                <w:color w:val="008000"/>
                <w:position w:val="7"/>
                <w:sz w:val="16"/>
                <w:sz w:val="20"/>
                <w:shd w:fill="FFFFFF" w:val="clear"/>
              </w:rPr>
              <w:t>(1)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932,400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23,310</w:t>
            </w:r>
            <w:r>
              <w:rPr>
                <w:rFonts w:ascii="Times;serif" w:hAnsi="Times;serif"/>
                <w:color w:val="008000"/>
                <w:position w:val="7"/>
                <w:sz w:val="16"/>
                <w:sz w:val="20"/>
                <w:shd w:fill="FFFFFF" w:val="clear"/>
              </w:rPr>
              <w:t>(2)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955,710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13,579</w:t>
            </w:r>
            <w:r>
              <w:rPr>
                <w:rFonts w:ascii="Times;serif" w:hAnsi="Times;serif"/>
                <w:color w:val="008000"/>
                <w:position w:val="7"/>
                <w:sz w:val="16"/>
                <w:sz w:val="20"/>
                <w:shd w:fill="FFFFFF" w:val="clear"/>
              </w:rPr>
              <w:t>(3)</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4.29</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942,131</w:t>
            </w:r>
            <w:r>
              <w:rPr>
                <w:rFonts w:ascii="Times;serif" w:hAnsi="Times;serif"/>
                <w:color w:val="008000"/>
                <w:position w:val="7"/>
                <w:sz w:val="16"/>
                <w:sz w:val="20"/>
                <w:shd w:fill="FFFFFF" w:val="clear"/>
              </w:rPr>
              <w:t>(4)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issuable upon the settlement of restricted stock units ("RSUs") granted to the Reporting Person. Each RSU represents a contingent right to receive one share of the Issuer's common stock. 25% of the RSUs will vest on the one-year anniversary of the vesting commencement date (August 5, 2026) and the remaining balance will vest in 12 equal quarterly installments each quarter thereafter, subject to the Reporting Person's continuous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the Issuer's common stock issued to the Reporting Person upon the receipt of a fully vested award of RSUs on August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withholding of shares of the Issuer's common stock to satisfy tax withholding obligations in connection with the immediate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932,400 shares issuable upon the settlement of RSUs granted to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Arthi Chakravarthy, Attorney-in-Fact, for Michael Vyvoda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7247" TargetMode="External"/><Relationship Id="rId5" Type="http://schemas.openxmlformats.org/officeDocument/2006/relationships/hyperlink" Target="http://www.sec.gov/cgi-bin/browse-edgar?action=getcompany&amp;CIK=00018283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3957</Characters>
  <CharactersWithSpaces>4596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