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12407.xml.htm"/>
      <w:bookmarkStart w:id="1" w:name="kswkform4_17870124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Truong Kristina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3501 W WARREN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Enovix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ENVX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93"/>
        <w:gridCol w:w="459"/>
        <w:gridCol w:w="673"/>
        <w:gridCol w:w="1202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4.43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302,881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withholding of shares of the Issuer's common stock to satisfy tax withholding obligations in connection with the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197,114 shares issuable upon the vesting and settlement of RSUs granted to the Reporting Person, as well as the following vested performance RSUs ("PRSUs"): (i) 2,489 PRSUs, which will be released to the Reporting Person in March 2027, and (ii) an aggregate of 35,278 PRSUs, 50% of which will be released in April 2027, with the remainder to be released in April 2028. Each PRSU represents a contingent right to receive one share of the Issuer's common stock upon settlement.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Arthi Chakravarthy, Attorney-in-Fact for Kristina Truong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2363" TargetMode="External"/><Relationship Id="rId5" Type="http://schemas.openxmlformats.org/officeDocument/2006/relationships/hyperlink" Target="http://www.sec.gov/cgi-bin/browse-edgar?action=getcompany&amp;CIK=0001828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673</Words>
  <Characters>3650</Characters>
  <CharactersWithSpaces>4254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