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10181.xml.htm"/>
      <w:bookmarkStart w:id="1" w:name="kswkform4_17883101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599,860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3.36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590,039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of the Issuer's common stock issued to the Reporting Person upon the receipt of a fully vested award of restricted stock units ("RSUs") on August 28, 2026. The RSUs represented the Reporting Person's award bonus earned for the quarter ended July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347,395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withholding of shares of the Issuer's common stock to satisfy tax withholding obligations in connection with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723</Words>
  <Characters>3884</Characters>
  <CharactersWithSpaces>4528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