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380598.xml.htm"/>
      <w:bookmarkStart w:id="1" w:name="kswkform4_178338059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Talluri Rajendra 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ENOVIX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3501 W. WARREN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FREMONT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94538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Enovix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ENVX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0"/>
        <w:gridCol w:w="771"/>
        <w:gridCol w:w="598"/>
        <w:gridCol w:w="345"/>
        <w:gridCol w:w="965"/>
        <w:gridCol w:w="447"/>
        <w:gridCol w:w="663"/>
        <w:gridCol w:w="1310"/>
        <w:gridCol w:w="987"/>
        <w:gridCol w:w="91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15,568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5.85</w:t>
            </w:r>
            <w:r>
              <w:rPr/>
              <w:t xml:space="preserve"> </w:t>
            </w:r>
          </w:p>
        </w:tc>
        <w:tc>
          <w:tcPr>
            <w:tcW w:w="13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3,029,048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30,765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5.85</w:t>
            </w:r>
            <w:r>
              <w:rPr/>
              <w:t xml:space="preserve"> </w:t>
            </w:r>
          </w:p>
        </w:tc>
        <w:tc>
          <w:tcPr>
            <w:tcW w:w="13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2,998,283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the withholding of shares of the Issuer's common stock to satisfy tax withholding obligations in connection with the vesting of restricted stock units ("RSUs").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1,927,089 shares issuable upon the vesting and settlement of RSUs granted to the Reporting Person, as well as: (i) 47,775 vested performance restricted stock units ("PRSUs"), which will be released to the Reporting Person in March 2027, and (ii) an aggregate of 259,611 PRSUs, 50% of which will be released in April 2027, with the remainder to be released in April 2028 (the foregoing PRSUs collectively referred to as the "Earned PRSUs"). Each PRSU represents a contingent right to receive one share of the Issuer's common stock upon settlement.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1,868,988 shares issuable upon the vesting and settlement of RSUs granted to the Reporting Person, as well as the Earned PRSUs.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Arthi Chakravarthy, Attorney-in-Fact for Raj Talluri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61877" TargetMode="External"/><Relationship Id="rId5" Type="http://schemas.openxmlformats.org/officeDocument/2006/relationships/hyperlink" Target="http://www.sec.gov/cgi-bin/browse-edgar?action=getcompany&amp;CIK=000182831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715</Words>
  <Characters>3874</Characters>
  <CharactersWithSpaces>4522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